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预算公开情况说明目录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一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年新华区一般公共预算收入预算情况的说明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年新华区一般公共预算支出预算情况的说明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年新华区政府性基金收入预算情况的说明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年新华区政府性基金支出预算情况的说明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年新华区国有资本经营收支预算情况的说明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年新华区社会保险基金收入预算情况的说明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七、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年新华区社会保险基金支出预算情况的说明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年新华区预算绩效管理工作开展情况说明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九、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年新华区举借债务的情况的说明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十、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年初新华区举借债务情况的说明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十一、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年新华区转移支付情况的说明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十二、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年新华区“三公”经费预算情况的说明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预算公开情况说明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eastAsia="宋体" w:cs="宋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关于2019年新华区一般公共预算收入预算情况的说明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2019年一般公共预算收入总计为110354万元，其中：一般公共预算收入安排65806万元，上级补助收入44048万元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（返还性收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6092万元，一般性转移支付收入36715万元，专项转移支付收入1241万元）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，调入预算稳定调节基金500万元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收入主要项目情况：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增值税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企业所得税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个人所得税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4500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资源税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700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12.5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城市维护建设税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6230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30.8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房产税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2570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12.1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印花税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1300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9.2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城镇土地使用税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2180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31.1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9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土地增值税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3180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29.7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车船税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1640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25.0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11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耕地占用税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1300万元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34.1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ascii="仿宋_GB2312" w:eastAsia="仿宋_GB2312" w:cs="仿宋_GB2312"/>
          <w:kern w:val="0"/>
          <w:sz w:val="32"/>
          <w:szCs w:val="32"/>
        </w:rPr>
        <w:t>12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环境保护税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488.2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13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非税收入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15506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8.3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eastAsia="宋体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关于2019年新华区一般公共预算支出预算情况的说明</w:t>
      </w:r>
    </w:p>
    <w:p>
      <w:pPr>
        <w:spacing w:line="51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一般公共预算支出总计为110354万元，其中：一般公共预算支出安排104033万元，上解上级支出6319万元；债务还本支出（线下支出科目）2万元。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主要支出科目安排情况是：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一般公共服务支出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19538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万元，可比增长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公共安全支出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6859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万元，可比增长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18996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万元，可比增长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科学技术支出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万元，可比增长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文化旅游体育与传媒支出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417万元，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可比增长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社会保障和就业支出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18332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万元，可比增长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13967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万元，可比增长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8.节能环保支出815万元，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可比增长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9.城乡社区支出10097万元，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可比增长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19.0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农林水支出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2621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万元，可比增长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26.4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11.交通运输支出598万元，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可比增长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22.8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资源勘探信息等支出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203万元，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可比增长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13.自然资源海洋气象等支出408万元，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可比增长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17.9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住房保障支出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3649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万元，可比增长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4.9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灾害防治及应急管理支出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1084万元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预备费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/>
          <w:kern w:val="0"/>
          <w:sz w:val="32"/>
          <w:szCs w:val="32"/>
        </w:rPr>
        <w:t>000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其他支出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5142万元（主要是年初预留及债务付息支出）。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关于2019年新华区政府性基金收入预算情况的说明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政府性基金预算收入总计为17824万元，其中：上级提前告知地方政府棚户区改造专项债券额度2000万元；上级提前告知政府性基金补助收入518万元；市对区国有土地使用权出让收入分成预计12512万元；上年结余2794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关于2019年新华区政府性基金支出预算情况的说明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政府性基金支出总计为17824万元，其中：2019年政府性基金预算支出17024万元，债务还本支出（线下支出科目）800万元。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主要支出科目安排情况是：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社会保障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就业支出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412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城乡社区支出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15420万元；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交通运输支出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债务付息支出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债务还本支出（线下支出科目）800万元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关于2019年新华区国有资本经营收支预算情况的说明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新华区无国有资本经营预算。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关于2019年新华区社会保险基金收入预算情况的说明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年新华区社会保险基金收入预算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14842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万元，其中：城乡居民基本养老保险基金收入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2530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万元，其中：保险缴费收入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610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万元，利息收入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87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万元，财政补贴收入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1819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，转移收入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14万元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城乡居民基本医疗保险基金收入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12312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万元，其中：保险缴费收入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2723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万元，利息收入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152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万元，财政补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贴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收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6437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，上级补助收入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3000万元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关于2019年新华区社会保险基金支出预算情况的说明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年新华区社会保险基金支出预算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13178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万元，其中：城乡居民基本养老保险基金支出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1721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城乡居民基本医疗保险基金支出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11457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关于2019年新华区预算绩效管理工作开展情况的说明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根据上级预算绩效管理工作文件和要求，结合实际预算绩效管理工作开展情况说明如下：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区领导高度重视，区经济工作会议、区人大会等多次会议上对预算绩效管理工作进行要求，对预算绩效管理工作职能和职责进行明确，指导预算绩效管理工作，促进预算绩效管理工作的制度化、规范化、科学化。全面建立预算支出绩效评价制度，按照绩效评价结果安排项目预算。</w:t>
      </w:r>
      <w:r>
        <w:rPr>
          <w:rFonts w:ascii="仿宋_GB2312" w:eastAsia="仿宋_GB2312" w:cs="仿宋_GB2312"/>
          <w:color w:val="auto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/>
        </w:rPr>
        <w:t>区级安排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100万元以上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/>
        </w:rPr>
        <w:t>的项目实行绩效管理。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在信息系统建设和第三方建设上仍存在不足，今后还需加强学习和建设。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关于2018年新华区举借债务情况的说明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2018年，市核定我区政府债务限额为59923万元，其中：一般债务28246万元、专项债务31677万元。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截止2018年底，我区政府债务余额为58932万元，其中：一般债务27755万元；专项债务31177万元。债务余额在市财政核定的限额之内。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2018年，市财政转贷我区政府债券资金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18777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其中，一般政府债券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5000万元，主要用百城提质建设，专项债券13777万元，主要用于土地收储项目。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关于2019年初新华区举借债务情况的说明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年初，我区政府债务余额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58932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其中，一般政府债券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27755万元，专项债券31177万元,上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级提前告知地方政府棚户区改造专项债券额度2000万元。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关于2019年新华区转移支付情况的说明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年预计我区转移支付收入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44048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返还性收入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6092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万元，其中：所得税基数返还收入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515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万元，成品油税费改革税收返还收入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187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万元，增值税税收返还收入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1664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万元，增值税五五分享税收返还收入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3726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一般性转移支付收入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36715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万元，其中：均衡性转移支付收入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6527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万元，结算补助收入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1416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万元，成品油税费改革转移支付补助收入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103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万元，基本养老金转移支付收入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1924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万元，城乡居民医疗保险转移支付收入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5275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万元，固定数额补助收入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3694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万元，公共安全共同财政事权转移支付收入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736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万元，教育共同财政事权转移支付收入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2114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万元，社会保障和就业共同财政事权转移支付收入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万元，卫生健康共同财政事权转移支付收入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1941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万元，其他一般性转移支付收入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12985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专项转移支付收入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1241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万元，其中：一般公共服务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万元，教育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477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万元，社会保障和就业</w:t>
      </w:r>
      <w:r>
        <w:rPr>
          <w:rFonts w:ascii="仿宋_GB2312" w:eastAsia="仿宋_GB2312" w:cs="仿宋_GB2312"/>
          <w:kern w:val="0"/>
          <w:sz w:val="32"/>
          <w:szCs w:val="32"/>
        </w:rPr>
        <w:t>500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万元，卫生健康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万元，农林水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关于2019年新华区“三公”经费预算情况的说明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年我区“三公”经费预算为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1404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万元，较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年下降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。“三公”经费各项预算安排情况如下：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因公出国（境）费预算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万元，与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年预算持平</w:t>
      </w:r>
      <w:r>
        <w:rPr>
          <w:rFonts w:ascii="仿宋_GB2312" w:eastAsia="仿宋_GB2312" w:cs="仿宋_GB2312"/>
          <w:kern w:val="0"/>
          <w:sz w:val="32"/>
          <w:szCs w:val="32"/>
        </w:rPr>
        <w:t>;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公务接待费预算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319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万元，较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年预算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9.2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/>
        </w:rPr>
        <w:t>主要原因是开展大气污染防治、百城提质建设、农村环境综合整治、重点项目等工作导致加班就餐有所增加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公务用车预算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1080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万元，较</w:t>
      </w:r>
      <w:r>
        <w:rPr>
          <w:rFonts w:ascii="仿宋_GB2312" w:eastAsia="仿宋_GB2312" w:cs="仿宋_GB2312"/>
          <w:color w:val="auto"/>
          <w:kern w:val="0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年预算下降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0.05</w:t>
      </w:r>
      <w:r>
        <w:rPr>
          <w:rFonts w:asci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，其中：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/>
        </w:rPr>
        <w:t>公务用车购置费56万元，比上年增加6万元，增长12%，主要原因是检察院、民政局等单位车辆老旧已到报废年限，无法正常行驶，急需更换车辆所致；公务用车运行维护费1024万元，比上年减少63万元，下降5.8%，主要原因是厉行节约，严格执行八项规定所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DE"/>
    <w:rsid w:val="004753C8"/>
    <w:rsid w:val="005F6A15"/>
    <w:rsid w:val="00C8338E"/>
    <w:rsid w:val="00EE43DE"/>
    <w:rsid w:val="12387358"/>
    <w:rsid w:val="133D3D4A"/>
    <w:rsid w:val="13CC5A82"/>
    <w:rsid w:val="19C17ECA"/>
    <w:rsid w:val="206F196F"/>
    <w:rsid w:val="36522196"/>
    <w:rsid w:val="37E53CC8"/>
    <w:rsid w:val="4001312B"/>
    <w:rsid w:val="40330708"/>
    <w:rsid w:val="433D0BF4"/>
    <w:rsid w:val="464C3A76"/>
    <w:rsid w:val="4C1511F1"/>
    <w:rsid w:val="617D2E90"/>
    <w:rsid w:val="73C354C5"/>
    <w:rsid w:val="76DE043E"/>
    <w:rsid w:val="791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496</Words>
  <Characters>2829</Characters>
  <Lines>23</Lines>
  <Paragraphs>6</Paragraphs>
  <TotalTime>67</TotalTime>
  <ScaleCrop>false</ScaleCrop>
  <LinksUpToDate>false</LinksUpToDate>
  <CharactersWithSpaces>3319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2019-08-06T07:15:00Z</dcterms:created>
  <dc:creator>User</dc:creator>
  <cp:lastModifiedBy>凉甜</cp:lastModifiedBy>
  <dcterms:modified xsi:type="dcterms:W3CDTF">2019-08-07T03:21:08Z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