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11670" w:type="dxa"/>
        <w:jc w:val="center"/>
        <w:tblCellSpacing w:w="0" w:type="dxa"/>
        <w:tblInd w:w="-1682" w:type="dxa"/>
        <w:shd w:val="clear" w:color="auto" w:fill="FFFFFF"/>
        <w:tblLayout w:type="fixed"/>
        <w:tblCellMar>
          <w:top w:w="0" w:type="dxa"/>
          <w:left w:w="0" w:type="dxa"/>
          <w:bottom w:w="0" w:type="dxa"/>
          <w:right w:w="0" w:type="dxa"/>
        </w:tblCellMar>
      </w:tblPr>
      <w:tblGrid>
        <w:gridCol w:w="11670"/>
      </w:tblGrid>
      <w:tr>
        <w:tblPrEx>
          <w:shd w:val="clear" w:color="auto" w:fill="FFFFFF"/>
          <w:tblLayout w:type="fixed"/>
          <w:tblCellMar>
            <w:top w:w="0" w:type="dxa"/>
            <w:left w:w="0" w:type="dxa"/>
            <w:bottom w:w="0" w:type="dxa"/>
            <w:right w:w="0" w:type="dxa"/>
          </w:tblCellMar>
        </w:tblPrEx>
        <w:trPr>
          <w:tblCellSpacing w:w="0" w:type="dxa"/>
          <w:jc w:val="center"/>
        </w:trPr>
        <w:tc>
          <w:tcPr>
            <w:tcW w:w="11670" w:type="dxa"/>
            <w:tcBorders>
              <w:top w:val="nil"/>
              <w:left w:val="nil"/>
              <w:bottom w:val="nil"/>
              <w:right w:val="nil"/>
            </w:tcBorders>
            <w:shd w:val="clear" w:color="auto" w:fill="FFFFFF"/>
            <w:vAlign w:val="center"/>
          </w:tcPr>
          <w:p>
            <w:pPr>
              <w:keepNext w:val="0"/>
              <w:keepLines w:val="0"/>
              <w:widowControl/>
              <w:suppressLineNumbers w:val="0"/>
              <w:spacing w:before="0" w:beforeAutospacing="0" w:after="0" w:afterAutospacing="0" w:line="570" w:lineRule="atLeast"/>
              <w:ind w:left="142" w:leftChars="67" w:right="-1" w:hanging="1"/>
              <w:jc w:val="center"/>
              <w:rPr>
                <w:rFonts w:hint="default" w:ascii="Calibri" w:hAnsi="Calibri" w:eastAsia="ˎ̥" w:cs="Calibri"/>
                <w:b/>
                <w:color w:val="000000"/>
                <w:kern w:val="0"/>
                <w:sz w:val="36"/>
                <w:szCs w:val="36"/>
                <w:bdr w:val="none" w:color="auto" w:sz="0" w:space="0"/>
                <w:lang w:val="en-US"/>
              </w:rPr>
            </w:pPr>
            <w:r>
              <w:rPr>
                <w:rFonts w:hint="eastAsia" w:ascii="ˎ̥" w:hAnsi="ˎ̥" w:eastAsia="宋体" w:cs="Arial"/>
                <w:b/>
                <w:color w:val="000000"/>
                <w:kern w:val="0"/>
                <w:sz w:val="36"/>
                <w:szCs w:val="36"/>
                <w:bdr w:val="none" w:color="auto" w:sz="0" w:space="0"/>
                <w:lang w:val="en-US" w:eastAsia="zh-CN" w:bidi="ar"/>
              </w:rPr>
              <w:t>河南省人民政府办公厅</w:t>
            </w:r>
            <w:r>
              <w:rPr>
                <w:rFonts w:hint="default" w:ascii="ˎ̥" w:hAnsi="ˎ̥" w:eastAsia="ˎ̥" w:cs="Arial"/>
                <w:b/>
                <w:color w:val="000000"/>
                <w:kern w:val="0"/>
                <w:sz w:val="36"/>
                <w:szCs w:val="36"/>
                <w:bdr w:val="none" w:color="auto" w:sz="0" w:space="0"/>
                <w:lang w:val="en-US" w:eastAsia="zh-CN" w:bidi="ar"/>
              </w:rPr>
              <w:br w:type="textWrapping"/>
            </w:r>
            <w:r>
              <w:rPr>
                <w:rFonts w:hint="eastAsia" w:ascii="ˎ̥" w:hAnsi="ˎ̥" w:eastAsia="宋体" w:cs="Arial"/>
                <w:b/>
                <w:color w:val="000000"/>
                <w:kern w:val="0"/>
                <w:sz w:val="36"/>
                <w:szCs w:val="36"/>
                <w:bdr w:val="none" w:color="auto" w:sz="0" w:space="0"/>
                <w:lang w:val="en-US" w:eastAsia="zh-CN" w:bidi="ar"/>
              </w:rPr>
              <w:t>关于转发省教育厅等部门河南省幼儿园管理</w:t>
            </w:r>
            <w:r>
              <w:rPr>
                <w:rFonts w:hint="default" w:ascii="ˎ̥" w:hAnsi="ˎ̥" w:eastAsia="ˎ̥" w:cs="Arial"/>
                <w:b/>
                <w:color w:val="000000"/>
                <w:kern w:val="0"/>
                <w:sz w:val="36"/>
                <w:szCs w:val="36"/>
                <w:bdr w:val="none" w:color="auto" w:sz="0" w:space="0"/>
                <w:lang w:val="en-US" w:eastAsia="zh-CN" w:bidi="ar"/>
              </w:rPr>
              <w:br w:type="textWrapping"/>
            </w:r>
            <w:r>
              <w:rPr>
                <w:rFonts w:hint="eastAsia" w:ascii="ˎ̥" w:hAnsi="ˎ̥" w:eastAsia="宋体" w:cs="Arial"/>
                <w:b/>
                <w:color w:val="000000"/>
                <w:kern w:val="0"/>
                <w:sz w:val="36"/>
                <w:szCs w:val="36"/>
                <w:bdr w:val="none" w:color="auto" w:sz="0" w:space="0"/>
                <w:lang w:val="en-US" w:eastAsia="zh-CN" w:bidi="ar"/>
              </w:rPr>
              <w:t>暂行办法</w:t>
            </w:r>
            <w:r>
              <w:rPr>
                <w:rFonts w:ascii="Calibri" w:hAnsi="Calibri" w:eastAsia="ˎ̥" w:cs="Calibri"/>
                <w:b/>
                <w:color w:val="000000"/>
                <w:kern w:val="0"/>
                <w:sz w:val="36"/>
                <w:szCs w:val="36"/>
                <w:bdr w:val="none" w:color="auto" w:sz="0" w:space="0"/>
                <w:lang w:val="en-US" w:eastAsia="zh-CN" w:bidi="ar"/>
              </w:rPr>
              <w:t>(</w:t>
            </w:r>
            <w:r>
              <w:rPr>
                <w:rFonts w:hint="eastAsia" w:ascii="ˎ̥" w:hAnsi="ˎ̥" w:eastAsia="宋体" w:cs="Arial"/>
                <w:b/>
                <w:color w:val="000000"/>
                <w:kern w:val="0"/>
                <w:sz w:val="36"/>
                <w:szCs w:val="36"/>
                <w:bdr w:val="none" w:color="auto" w:sz="0" w:space="0"/>
                <w:lang w:val="en-US" w:eastAsia="zh-CN" w:bidi="ar"/>
              </w:rPr>
              <w:t>试行</w:t>
            </w:r>
            <w:r>
              <w:rPr>
                <w:rFonts w:hint="default" w:ascii="Calibri" w:hAnsi="Calibri" w:eastAsia="ˎ̥" w:cs="Calibri"/>
                <w:b/>
                <w:color w:val="000000"/>
                <w:kern w:val="0"/>
                <w:sz w:val="36"/>
                <w:szCs w:val="36"/>
                <w:bdr w:val="none" w:color="auto" w:sz="0" w:space="0"/>
                <w:lang w:val="en-US" w:eastAsia="zh-CN" w:bidi="ar"/>
              </w:rPr>
              <w:t>)</w:t>
            </w:r>
            <w:r>
              <w:rPr>
                <w:rFonts w:hint="eastAsia" w:ascii="ˎ̥" w:hAnsi="ˎ̥" w:eastAsia="宋体" w:cs="Arial"/>
                <w:b/>
                <w:color w:val="000000"/>
                <w:kern w:val="0"/>
                <w:sz w:val="36"/>
                <w:szCs w:val="36"/>
                <w:bdr w:val="none" w:color="auto" w:sz="0" w:space="0"/>
                <w:lang w:val="en-US" w:eastAsia="zh-CN" w:bidi="ar"/>
              </w:rPr>
              <w:t>的通知</w:t>
            </w:r>
            <w:r>
              <w:rPr>
                <w:rFonts w:hint="default" w:ascii="Calibri" w:hAnsi="Calibri" w:eastAsia="ˎ̥" w:cs="Calibri"/>
                <w:b/>
                <w:color w:val="000000"/>
                <w:kern w:val="0"/>
                <w:sz w:val="36"/>
                <w:szCs w:val="36"/>
                <w:bdr w:val="none" w:color="auto" w:sz="0" w:space="0"/>
                <w:lang w:val="en-US" w:eastAsia="zh-CN" w:bidi="ar"/>
              </w:rPr>
              <w:t xml:space="preserve"> </w:t>
            </w:r>
          </w:p>
        </w:tc>
      </w:tr>
      <w:tr>
        <w:tblPrEx>
          <w:shd w:val="clear" w:color="auto" w:fill="FFFFFF"/>
          <w:tblLayout w:type="fixed"/>
          <w:tblCellMar>
            <w:top w:w="0" w:type="dxa"/>
            <w:left w:w="0" w:type="dxa"/>
            <w:bottom w:w="0" w:type="dxa"/>
            <w:right w:w="0" w:type="dxa"/>
          </w:tblCellMar>
        </w:tblPrEx>
        <w:trPr>
          <w:trHeight w:val="450" w:hRule="atLeast"/>
          <w:tblCellSpacing w:w="0" w:type="dxa"/>
          <w:jc w:val="center"/>
        </w:trPr>
        <w:tc>
          <w:tcPr>
            <w:tcW w:w="11670" w:type="dxa"/>
            <w:tcBorders>
              <w:top w:val="nil"/>
              <w:left w:val="nil"/>
              <w:bottom w:val="nil"/>
              <w:right w:val="nil"/>
            </w:tcBorders>
            <w:shd w:val="clear" w:color="auto" w:fill="FFFFFF"/>
            <w:vAlign w:val="center"/>
          </w:tcPr>
          <w:p>
            <w:pPr>
              <w:keepNext w:val="0"/>
              <w:keepLines w:val="0"/>
              <w:widowControl/>
              <w:suppressLineNumbers w:val="0"/>
              <w:spacing w:before="0" w:beforeAutospacing="0" w:after="0" w:afterAutospacing="0"/>
              <w:ind w:left="142" w:leftChars="67" w:right="-1" w:hanging="1"/>
              <w:jc w:val="center"/>
              <w:rPr>
                <w:rFonts w:hint="default" w:ascii="Arial" w:hAnsi="Arial" w:cs="Arial"/>
                <w:color w:val="000000"/>
                <w:kern w:val="0"/>
                <w:sz w:val="24"/>
                <w:szCs w:val="24"/>
                <w:bdr w:val="none" w:color="auto" w:sz="0" w:space="0"/>
                <w:lang w:val="en-US"/>
              </w:rPr>
            </w:pPr>
            <w:r>
              <w:rPr>
                <w:rFonts w:ascii="楷体_GB2312" w:hAnsi="Arial" w:eastAsia="楷体_GB2312" w:cs="Arial"/>
                <w:color w:val="000000"/>
                <w:kern w:val="0"/>
                <w:sz w:val="24"/>
                <w:szCs w:val="24"/>
                <w:bdr w:val="none" w:color="auto" w:sz="0" w:space="0"/>
                <w:lang w:val="en-US" w:eastAsia="zh-CN" w:bidi="ar"/>
              </w:rPr>
              <w:t>豫政办 〔</w:t>
            </w:r>
            <w:r>
              <w:rPr>
                <w:rFonts w:hint="eastAsia" w:ascii="楷体_GB2312" w:hAnsi="Arial" w:eastAsia="楷体_GB2312" w:cs="Arial"/>
                <w:color w:val="000000"/>
                <w:kern w:val="0"/>
                <w:sz w:val="24"/>
                <w:szCs w:val="24"/>
                <w:bdr w:val="none" w:color="auto" w:sz="0" w:space="0"/>
                <w:lang w:val="en-US" w:eastAsia="zh-CN" w:bidi="ar"/>
              </w:rPr>
              <w:t xml:space="preserve">2012〕63号 </w:t>
            </w:r>
          </w:p>
        </w:tc>
      </w:tr>
      <w:tr>
        <w:tblPrEx>
          <w:shd w:val="clear" w:color="auto" w:fill="FFFFFF"/>
          <w:tblLayout w:type="fixed"/>
          <w:tblCellMar>
            <w:top w:w="0" w:type="dxa"/>
            <w:left w:w="0" w:type="dxa"/>
            <w:bottom w:w="0" w:type="dxa"/>
            <w:right w:w="0" w:type="dxa"/>
          </w:tblCellMar>
        </w:tblPrEx>
        <w:trPr>
          <w:tblCellSpacing w:w="0" w:type="dxa"/>
          <w:jc w:val="center"/>
        </w:trPr>
        <w:tc>
          <w:tcPr>
            <w:tcW w:w="11670" w:type="dxa"/>
            <w:tcBorders>
              <w:top w:val="nil"/>
              <w:left w:val="nil"/>
              <w:bottom w:val="nil"/>
              <w:right w:val="nil"/>
            </w:tcBorders>
            <w:shd w:val="clear" w:color="auto" w:fill="FFFFFF"/>
            <w:vAlign w:val="center"/>
          </w:tcPr>
          <w:p>
            <w:pPr>
              <w:keepNext w:val="0"/>
              <w:keepLines w:val="0"/>
              <w:widowControl/>
              <w:suppressLineNumbers w:val="0"/>
              <w:spacing w:before="0" w:beforeAutospacing="0" w:after="0" w:afterAutospacing="0"/>
              <w:ind w:left="142" w:leftChars="67" w:right="-1" w:hanging="1"/>
              <w:jc w:val="center"/>
              <w:rPr>
                <w:rFonts w:hint="default" w:ascii="Arial" w:hAnsi="Arial" w:cs="Arial"/>
                <w:color w:val="000000"/>
                <w:kern w:val="0"/>
                <w:sz w:val="18"/>
                <w:szCs w:val="18"/>
                <w:bdr w:val="none" w:color="auto" w:sz="0" w:space="0"/>
                <w:lang w:val="en-US"/>
              </w:rPr>
            </w:pPr>
          </w:p>
        </w:tc>
      </w:tr>
      <w:tr>
        <w:tblPrEx>
          <w:shd w:val="clear" w:color="auto" w:fill="FFFFFF"/>
          <w:tblLayout w:type="fixed"/>
          <w:tblCellMar>
            <w:top w:w="0" w:type="dxa"/>
            <w:left w:w="0" w:type="dxa"/>
            <w:bottom w:w="0" w:type="dxa"/>
            <w:right w:w="0" w:type="dxa"/>
          </w:tblCellMar>
        </w:tblPrEx>
        <w:trPr>
          <w:tblCellSpacing w:w="0" w:type="dxa"/>
          <w:jc w:val="center"/>
        </w:trPr>
        <w:tc>
          <w:tcPr>
            <w:tcW w:w="11670" w:type="dxa"/>
            <w:tcBorders>
              <w:top w:val="nil"/>
              <w:left w:val="nil"/>
              <w:bottom w:val="nil"/>
              <w:right w:val="nil"/>
            </w:tcBorders>
            <w:shd w:val="clear" w:color="auto" w:fill="FFFFFF"/>
            <w:vAlign w:val="top"/>
          </w:tcPr>
          <w:tbl>
            <w:tblPr>
              <w:tblW w:w="11086" w:type="dxa"/>
              <w:jc w:val="center"/>
              <w:tblCellSpacing w:w="0" w:type="dxa"/>
              <w:tblInd w:w="292" w:type="dxa"/>
              <w:shd w:val="clear"/>
              <w:tblLayout w:type="fixed"/>
              <w:tblCellMar>
                <w:top w:w="0" w:type="dxa"/>
                <w:left w:w="0" w:type="dxa"/>
                <w:bottom w:w="0" w:type="dxa"/>
                <w:right w:w="0" w:type="dxa"/>
              </w:tblCellMar>
            </w:tblPr>
            <w:tblGrid>
              <w:gridCol w:w="11086"/>
            </w:tblGrid>
            <w:tr>
              <w:tblPrEx>
                <w:shd w:val="clear"/>
                <w:tblLayout w:type="fixed"/>
                <w:tblCellMar>
                  <w:top w:w="0" w:type="dxa"/>
                  <w:left w:w="0" w:type="dxa"/>
                  <w:bottom w:w="0" w:type="dxa"/>
                  <w:right w:w="0" w:type="dxa"/>
                </w:tblCellMar>
              </w:tblPrEx>
              <w:trPr>
                <w:tblCellSpacing w:w="0" w:type="dxa"/>
                <w:jc w:val="center"/>
              </w:trPr>
              <w:tc>
                <w:tcPr>
                  <w:tcW w:w="11086" w:type="dxa"/>
                  <w:tcBorders>
                    <w:top w:val="nil"/>
                    <w:left w:val="nil"/>
                    <w:bottom w:val="nil"/>
                    <w:right w:val="nil"/>
                  </w:tcBorders>
                  <w:shd w:val="clear"/>
                  <w:vAlign w:val="center"/>
                </w:tcPr>
                <w:p>
                  <w:pPr>
                    <w:keepNext w:val="0"/>
                    <w:keepLines w:val="0"/>
                    <w:widowControl/>
                    <w:suppressLineNumbers w:val="0"/>
                    <w:spacing w:before="0" w:beforeAutospacing="1" w:after="0" w:afterAutospacing="1" w:line="360" w:lineRule="auto"/>
                    <w:ind w:left="582" w:leftChars="277" w:right="-1"/>
                    <w:jc w:val="left"/>
                    <w:rPr>
                      <w:rFonts w:hint="default" w:ascii="Calibri" w:hAnsi="Calibri" w:eastAsia="ˎ̥" w:cs="Calibri"/>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各省辖市人民政府</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省人民政府各部门</w:t>
                  </w:r>
                  <w:r>
                    <w:rPr>
                      <w:rFonts w:hint="default" w:ascii="Calibri" w:hAnsi="Calibri" w:eastAsia="ˎ̥" w:cs="Calibri"/>
                      <w:color w:val="000000"/>
                      <w:kern w:val="0"/>
                      <w:sz w:val="24"/>
                      <w:szCs w:val="24"/>
                      <w:bdr w:val="none" w:color="auto" w:sz="0" w:space="0"/>
                      <w:lang w:val="en-US" w:eastAsia="zh-CN" w:bidi="ar"/>
                    </w:rPr>
                    <w:t>:</w:t>
                  </w:r>
                </w:p>
                <w:p>
                  <w:pPr>
                    <w:keepNext w:val="0"/>
                    <w:keepLines w:val="0"/>
                    <w:widowControl/>
                    <w:suppressLineNumbers w:val="0"/>
                    <w:spacing w:before="0" w:beforeAutospacing="1" w:after="0" w:afterAutospacing="1" w:line="360" w:lineRule="auto"/>
                    <w:ind w:left="583" w:leftChars="277" w:right="581" w:hanging="1"/>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省教育厅等</w:t>
                  </w:r>
                  <w:r>
                    <w:rPr>
                      <w:rFonts w:hint="default" w:ascii="Calibri" w:hAnsi="Calibri" w:eastAsia="ˎ̥" w:cs="Calibri"/>
                      <w:color w:val="000000"/>
                      <w:kern w:val="0"/>
                      <w:sz w:val="24"/>
                      <w:szCs w:val="24"/>
                      <w:bdr w:val="none" w:color="auto" w:sz="0" w:space="0"/>
                      <w:lang w:val="en-US" w:eastAsia="zh-CN" w:bidi="ar"/>
                    </w:rPr>
                    <w:t>13</w:t>
                  </w:r>
                  <w:r>
                    <w:rPr>
                      <w:rFonts w:hint="eastAsia" w:ascii="ˎ̥" w:hAnsi="ˎ̥" w:eastAsia="宋体" w:cs="Arial"/>
                      <w:color w:val="000000"/>
                      <w:kern w:val="0"/>
                      <w:sz w:val="24"/>
                      <w:szCs w:val="24"/>
                      <w:bdr w:val="none" w:color="auto" w:sz="0" w:space="0"/>
                      <w:lang w:val="en-US" w:eastAsia="zh-CN" w:bidi="ar"/>
                    </w:rPr>
                    <w:t>部门制定的《河南省幼儿园管理暂行办法</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试行</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》已经省政府同意</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现转发给你们</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请认真贯彻执行。</w:t>
                  </w:r>
                </w:p>
                <w:p>
                  <w:pPr>
                    <w:keepNext w:val="0"/>
                    <w:keepLines w:val="0"/>
                    <w:widowControl/>
                    <w:suppressLineNumbers w:val="0"/>
                    <w:spacing w:before="0" w:beforeAutospacing="1" w:after="0" w:afterAutospacing="1" w:line="360" w:lineRule="auto"/>
                    <w:ind w:left="142" w:leftChars="67" w:right="723" w:hanging="1"/>
                    <w:jc w:val="righ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河南省人民政府办公厅</w:t>
                  </w:r>
                </w:p>
                <w:p>
                  <w:pPr>
                    <w:keepNext w:val="0"/>
                    <w:keepLines w:val="0"/>
                    <w:widowControl/>
                    <w:suppressLineNumbers w:val="0"/>
                    <w:spacing w:before="0" w:beforeAutospacing="1" w:after="0" w:afterAutospacing="1" w:line="360" w:lineRule="auto"/>
                    <w:ind w:left="142" w:leftChars="67" w:right="723" w:hanging="1"/>
                    <w:jc w:val="righ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二</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一二年五月十一日</w:t>
                  </w:r>
                </w:p>
                <w:p>
                  <w:pPr>
                    <w:keepNext w:val="0"/>
                    <w:keepLines w:val="0"/>
                    <w:widowControl/>
                    <w:suppressLineNumbers w:val="0"/>
                    <w:spacing w:before="0" w:beforeAutospacing="1" w:after="0" w:afterAutospacing="1" w:line="360" w:lineRule="auto"/>
                    <w:ind w:left="142" w:leftChars="67" w:right="-1" w:hanging="1"/>
                    <w:jc w:val="center"/>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bookmarkStart w:id="0" w:name="_GoBack"/>
                  <w:r>
                    <w:rPr>
                      <w:rFonts w:hint="eastAsia" w:ascii="ˎ̥" w:hAnsi="ˎ̥" w:eastAsia="宋体" w:cs="Arial"/>
                      <w:b/>
                      <w:color w:val="000000"/>
                      <w:kern w:val="0"/>
                      <w:sz w:val="24"/>
                      <w:szCs w:val="24"/>
                      <w:bdr w:val="none" w:color="auto" w:sz="0" w:space="0"/>
                      <w:lang w:val="en-US" w:eastAsia="zh-CN" w:bidi="ar"/>
                    </w:rPr>
                    <w:t>河南省幼儿园管理暂行办法</w:t>
                  </w:r>
                  <w:r>
                    <w:rPr>
                      <w:rFonts w:hint="default" w:ascii="Calibri" w:hAnsi="Calibri" w:eastAsia="ˎ̥" w:cs="Calibri"/>
                      <w:b/>
                      <w:color w:val="000000"/>
                      <w:kern w:val="0"/>
                      <w:sz w:val="24"/>
                      <w:szCs w:val="24"/>
                      <w:bdr w:val="none" w:color="auto" w:sz="0" w:space="0"/>
                      <w:lang w:val="en-US" w:eastAsia="zh-CN" w:bidi="ar"/>
                    </w:rPr>
                    <w:t>(</w:t>
                  </w:r>
                  <w:r>
                    <w:rPr>
                      <w:rFonts w:hint="eastAsia" w:ascii="ˎ̥" w:hAnsi="ˎ̥" w:eastAsia="宋体" w:cs="Arial"/>
                      <w:b/>
                      <w:color w:val="000000"/>
                      <w:kern w:val="0"/>
                      <w:sz w:val="24"/>
                      <w:szCs w:val="24"/>
                      <w:bdr w:val="none" w:color="auto" w:sz="0" w:space="0"/>
                      <w:lang w:val="en-US" w:eastAsia="zh-CN" w:bidi="ar"/>
                    </w:rPr>
                    <w:t>试行</w:t>
                  </w:r>
                  <w:r>
                    <w:rPr>
                      <w:rFonts w:hint="default" w:ascii="ˎ̥" w:hAnsi="ˎ̥" w:eastAsia="ˎ̥" w:cs="Arial"/>
                      <w:b/>
                      <w:color w:val="000000"/>
                      <w:kern w:val="0"/>
                      <w:sz w:val="24"/>
                      <w:szCs w:val="24"/>
                      <w:bdr w:val="none" w:color="auto" w:sz="0" w:space="0"/>
                      <w:lang w:val="en-US" w:eastAsia="zh-CN" w:bidi="ar"/>
                    </w:rPr>
                    <w:t>)</w:t>
                  </w:r>
                  <w:bookmarkEnd w:id="0"/>
                </w:p>
                <w:p>
                  <w:pPr>
                    <w:keepNext w:val="0"/>
                    <w:keepLines w:val="0"/>
                    <w:widowControl/>
                    <w:suppressLineNumbers w:val="0"/>
                    <w:spacing w:before="0" w:beforeAutospacing="1" w:after="0" w:afterAutospacing="1" w:line="360" w:lineRule="auto"/>
                    <w:ind w:left="142" w:leftChars="67" w:right="-1" w:hanging="1"/>
                    <w:jc w:val="center"/>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省教育厅</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省发展改革委</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省公安厅</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省民政厅</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省财政厅</w:t>
                  </w:r>
                </w:p>
                <w:p>
                  <w:pPr>
                    <w:keepNext w:val="0"/>
                    <w:keepLines w:val="0"/>
                    <w:widowControl/>
                    <w:suppressLineNumbers w:val="0"/>
                    <w:spacing w:before="0" w:beforeAutospacing="1" w:after="0" w:afterAutospacing="1" w:line="360" w:lineRule="auto"/>
                    <w:ind w:left="142" w:leftChars="67" w:right="-1" w:hanging="1"/>
                    <w:jc w:val="center"/>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省人力资源社会保障厅</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省编办</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省国土资源厅</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省住房城乡建设厅</w:t>
                  </w:r>
                </w:p>
                <w:p>
                  <w:pPr>
                    <w:keepNext w:val="0"/>
                    <w:keepLines w:val="0"/>
                    <w:widowControl/>
                    <w:suppressLineNumbers w:val="0"/>
                    <w:spacing w:before="0" w:beforeAutospacing="1" w:after="0" w:afterAutospacing="1" w:line="360" w:lineRule="auto"/>
                    <w:ind w:left="142" w:leftChars="67" w:right="-1" w:hanging="1"/>
                    <w:jc w:val="center"/>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省交通运输厅</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省文化厅</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省卫生厅</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省工商局</w:t>
                  </w:r>
                </w:p>
                <w:p>
                  <w:pPr>
                    <w:keepNext w:val="0"/>
                    <w:keepLines w:val="0"/>
                    <w:widowControl/>
                    <w:suppressLineNumbers w:val="0"/>
                    <w:spacing w:before="0" w:beforeAutospacing="1" w:after="0" w:afterAutospacing="1" w:line="360" w:lineRule="auto"/>
                    <w:ind w:left="142" w:leftChars="67" w:right="-1" w:hanging="1"/>
                    <w:jc w:val="center"/>
                    <w:rPr>
                      <w:rFonts w:hint="default" w:ascii="Calibri" w:hAnsi="Calibri" w:eastAsia="ˎ̥" w:cs="Calibri"/>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二</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一二年四月五日</w:t>
                  </w:r>
                  <w:r>
                    <w:rPr>
                      <w:rFonts w:hint="default" w:ascii="Calibri" w:hAnsi="Calibri" w:eastAsia="ˎ̥" w:cs="Calibri"/>
                      <w:color w:val="000000"/>
                      <w:kern w:val="0"/>
                      <w:sz w:val="24"/>
                      <w:szCs w:val="24"/>
                      <w:bdr w:val="none" w:color="auto" w:sz="0" w:space="0"/>
                      <w:lang w:val="en-US" w:eastAsia="zh-CN" w:bidi="ar"/>
                    </w:rPr>
                    <w:t>)</w:t>
                  </w:r>
                </w:p>
                <w:p>
                  <w:pPr>
                    <w:keepNext w:val="0"/>
                    <w:keepLines w:val="0"/>
                    <w:widowControl/>
                    <w:suppressLineNumbers w:val="0"/>
                    <w:spacing w:before="0" w:beforeAutospacing="1" w:after="0" w:afterAutospacing="1" w:line="360" w:lineRule="auto"/>
                    <w:ind w:left="708" w:leftChars="337" w:right="723" w:firstLine="14" w:firstLineChars="6"/>
                    <w:jc w:val="center"/>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总　则</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第一条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为加强对幼儿园的管理</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促进我省学前教育事业健康发展</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根据有关规定</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结合我省实际</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制定本办法。</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本办法适用于在我省举办的以</w:t>
                  </w:r>
                  <w:r>
                    <w:rPr>
                      <w:rFonts w:hint="default" w:ascii="Calibri" w:hAnsi="Calibri" w:eastAsia="ˎ̥" w:cs="Calibri"/>
                      <w:color w:val="000000"/>
                      <w:kern w:val="0"/>
                      <w:sz w:val="24"/>
                      <w:szCs w:val="24"/>
                      <w:bdr w:val="none" w:color="auto" w:sz="0" w:space="0"/>
                      <w:lang w:val="en-US" w:eastAsia="zh-CN" w:bidi="ar"/>
                    </w:rPr>
                    <w:t>0—6</w:t>
                  </w:r>
                  <w:r>
                    <w:rPr>
                      <w:rFonts w:hint="eastAsia" w:ascii="ˎ̥" w:hAnsi="ˎ̥" w:eastAsia="宋体" w:cs="Arial"/>
                      <w:color w:val="000000"/>
                      <w:kern w:val="0"/>
                      <w:sz w:val="24"/>
                      <w:szCs w:val="24"/>
                      <w:bdr w:val="none" w:color="auto" w:sz="0" w:space="0"/>
                      <w:lang w:val="en-US" w:eastAsia="zh-CN" w:bidi="ar"/>
                    </w:rPr>
                    <w:t>岁幼儿为教育对象的各级各类幼儿园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含农村学前班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学前教育是国家教育事业的重要组成部分</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必须贯彻国家的教育方针</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遵循学龄前儿童身心发展规律和教育规律</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坚持保育与教育相结合</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为幼儿一生发展奠定基础。</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各级教育部门是学前教育的主管部门</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负责本地学前教育的行政管理工作</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负责对各级各类幼儿园进行业务指导。</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第五条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各级政府其他有关部门按各自职责做好幼儿园管理的相关工作。</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第六条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建立健全幼儿园评估制度和分级分类管理制度</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加强对各级各类幼儿园的督导、评估、监督、检查与指导。</w:t>
                  </w:r>
                </w:p>
                <w:p>
                  <w:pPr>
                    <w:keepNext w:val="0"/>
                    <w:keepLines w:val="0"/>
                    <w:widowControl/>
                    <w:suppressLineNumbers w:val="0"/>
                    <w:spacing w:before="0" w:beforeAutospacing="1" w:after="0" w:afterAutospacing="1" w:line="360" w:lineRule="auto"/>
                    <w:ind w:left="708" w:leftChars="337" w:right="723" w:firstLine="14" w:firstLineChars="6"/>
                    <w:jc w:val="center"/>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第一章</w:t>
                  </w:r>
                  <w:r>
                    <w:rPr>
                      <w:rFonts w:hint="default" w:ascii="Calibri" w:hAnsi="Calibri" w:eastAsia="ˎ̥" w:cs="Calibri"/>
                      <w:b/>
                      <w:color w:val="000000"/>
                      <w:kern w:val="0"/>
                      <w:sz w:val="24"/>
                      <w:szCs w:val="24"/>
                      <w:bdr w:val="none" w:color="auto" w:sz="0" w:space="0"/>
                      <w:lang w:val="en-US" w:eastAsia="zh-CN" w:bidi="ar"/>
                    </w:rPr>
                    <w:t xml:space="preserve"> </w:t>
                  </w:r>
                  <w:r>
                    <w:rPr>
                      <w:rFonts w:hint="eastAsia" w:ascii="ˎ̥" w:hAnsi="ˎ̥" w:eastAsia="宋体" w:cs="Arial"/>
                      <w:b/>
                      <w:color w:val="000000"/>
                      <w:kern w:val="0"/>
                      <w:sz w:val="24"/>
                      <w:szCs w:val="24"/>
                      <w:bdr w:val="none" w:color="auto" w:sz="0" w:space="0"/>
                      <w:lang w:val="en-US" w:eastAsia="zh-CN" w:bidi="ar"/>
                    </w:rPr>
                    <w:t>幼儿园的举办</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第七条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坚持政府主导、社会参与、公办民办并举</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充分调动各方面积极性</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多种形式扩大学前教育资源</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满足人民群众的基本需求。</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第八条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鼓励社会力量以多种形式举办幼儿园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积极探索创新学前教育管理模式和运行机制。对公建民营模式幼儿园实行管办分离</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参照公办幼儿园管理模式委托进行管理。</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第九条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实行幼儿园准入制度。举办幼儿园应当按照属地管理原则</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由所在乡镇</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街道</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教育办或中心学校申报</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县级教育部门负责审批</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核发《河南省幼儿园办园许可证》</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以下简称《办园许可证》</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民办幼儿园取得办园许可后</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依法办理《民办教育办学许可证》</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再到民政部门注册登记</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取得民办非企业单位法人许可。</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未取得《办园许可证》和未办理登记手续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任何单位和个人不得举办幼儿园。</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第十条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举办幼儿园的社会组织应当具有法人资格</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举办幼儿园的公民应当具有政治权利和完全民事行为能力。举办的幼儿园应当达到河南省幼儿园办园基本标准。</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Calibri" w:hAnsi="Calibri" w:eastAsia="ˎ̥" w:cs="Calibri"/>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第十一条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申请举办幼儿园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应当向审批机关提交下列材料</w:t>
                  </w:r>
                  <w:r>
                    <w:rPr>
                      <w:rFonts w:hint="default" w:ascii="Calibri" w:hAnsi="Calibri" w:eastAsia="ˎ̥" w:cs="Calibri"/>
                      <w:color w:val="000000"/>
                      <w:kern w:val="0"/>
                      <w:sz w:val="24"/>
                      <w:szCs w:val="24"/>
                      <w:bdr w:val="none" w:color="auto" w:sz="0" w:space="0"/>
                      <w:lang w:val="en-US" w:eastAsia="zh-CN" w:bidi="ar"/>
                    </w:rPr>
                    <w:t>:</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一</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申办报告及审批注册登记表。申办报告内容包括举办者、规范的名称、办园性质、规模、形式、条件、内部管理体制、经费筹措与管理使用等。</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二</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证明办园条件的有关资料。</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Calibri" w:hAnsi="Calibri" w:eastAsia="ˎ̥" w:cs="Calibri"/>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申请举办民办幼儿园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还需提交以下材料</w:t>
                  </w:r>
                  <w:r>
                    <w:rPr>
                      <w:rFonts w:hint="default" w:ascii="Calibri" w:hAnsi="Calibri" w:eastAsia="ˎ̥" w:cs="Calibri"/>
                      <w:color w:val="000000"/>
                      <w:kern w:val="0"/>
                      <w:sz w:val="24"/>
                      <w:szCs w:val="24"/>
                      <w:bdr w:val="none" w:color="auto" w:sz="0" w:space="0"/>
                      <w:lang w:val="en-US" w:eastAsia="zh-CN" w:bidi="ar"/>
                    </w:rPr>
                    <w:t>:</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1.</w:t>
                  </w:r>
                  <w:r>
                    <w:rPr>
                      <w:rFonts w:hint="eastAsia" w:ascii="ˎ̥" w:hAnsi="ˎ̥" w:eastAsia="宋体" w:cs="Arial"/>
                      <w:color w:val="000000"/>
                      <w:kern w:val="0"/>
                      <w:sz w:val="24"/>
                      <w:szCs w:val="24"/>
                      <w:bdr w:val="none" w:color="auto" w:sz="0" w:space="0"/>
                      <w:lang w:val="en-US" w:eastAsia="zh-CN" w:bidi="ar"/>
                    </w:rPr>
                    <w:t>举办者资格证明及决策机构组成人员名单。</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2.</w:t>
                  </w:r>
                  <w:r>
                    <w:rPr>
                      <w:rFonts w:hint="eastAsia" w:ascii="ˎ̥" w:hAnsi="ˎ̥" w:eastAsia="宋体" w:cs="Arial"/>
                      <w:color w:val="000000"/>
                      <w:kern w:val="0"/>
                      <w:sz w:val="24"/>
                      <w:szCs w:val="24"/>
                      <w:bdr w:val="none" w:color="auto" w:sz="0" w:space="0"/>
                      <w:lang w:val="en-US" w:eastAsia="zh-CN" w:bidi="ar"/>
                    </w:rPr>
                    <w:t>园长、教师、保育人员及其他工作人员的资格证明及有资质的健康检查单位出具的健康证明。</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3.</w:t>
                  </w:r>
                  <w:r>
                    <w:rPr>
                      <w:rFonts w:hint="eastAsia" w:ascii="ˎ̥" w:hAnsi="ˎ̥" w:eastAsia="宋体" w:cs="Arial"/>
                      <w:color w:val="000000"/>
                      <w:kern w:val="0"/>
                      <w:sz w:val="24"/>
                      <w:szCs w:val="24"/>
                      <w:bdr w:val="none" w:color="auto" w:sz="0" w:space="0"/>
                      <w:lang w:val="en-US" w:eastAsia="zh-CN" w:bidi="ar"/>
                    </w:rPr>
                    <w:t>拟办幼儿园资产的法律有效证明文件。</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4.</w:t>
                  </w:r>
                  <w:r>
                    <w:rPr>
                      <w:rFonts w:hint="eastAsia" w:ascii="ˎ̥" w:hAnsi="ˎ̥" w:eastAsia="宋体" w:cs="Arial"/>
                      <w:color w:val="000000"/>
                      <w:kern w:val="0"/>
                      <w:sz w:val="24"/>
                      <w:szCs w:val="24"/>
                      <w:bdr w:val="none" w:color="auto" w:sz="0" w:space="0"/>
                      <w:lang w:val="en-US" w:eastAsia="zh-CN" w:bidi="ar"/>
                    </w:rPr>
                    <w:t>拟办幼儿园的章程草案</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包括办学宗旨、管理体制、招收对象和范围、师资队伍构成、保教计划等</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和发展规划。</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5.</w:t>
                  </w:r>
                  <w:r>
                    <w:rPr>
                      <w:rFonts w:hint="eastAsia" w:ascii="ˎ̥" w:hAnsi="ˎ̥" w:eastAsia="宋体" w:cs="Arial"/>
                      <w:color w:val="000000"/>
                      <w:kern w:val="0"/>
                      <w:sz w:val="24"/>
                      <w:szCs w:val="24"/>
                      <w:bdr w:val="none" w:color="auto" w:sz="0" w:space="0"/>
                      <w:lang w:val="en-US" w:eastAsia="zh-CN" w:bidi="ar"/>
                    </w:rPr>
                    <w:t>房舍的房产证。租用园舍的</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应当提供有法律效力的租赁合同或协议。</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6.</w:t>
                  </w:r>
                  <w:r>
                    <w:rPr>
                      <w:rFonts w:hint="eastAsia" w:ascii="ˎ̥" w:hAnsi="ˎ̥" w:eastAsia="宋体" w:cs="Arial"/>
                      <w:color w:val="000000"/>
                      <w:kern w:val="0"/>
                      <w:sz w:val="24"/>
                      <w:szCs w:val="24"/>
                      <w:bdr w:val="none" w:color="auto" w:sz="0" w:space="0"/>
                      <w:lang w:val="en-US" w:eastAsia="zh-CN" w:bidi="ar"/>
                    </w:rPr>
                    <w:t>经公安消防部门审查同意的有效证明文件。</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7.</w:t>
                  </w:r>
                  <w:r>
                    <w:rPr>
                      <w:rFonts w:hint="eastAsia" w:ascii="ˎ̥" w:hAnsi="ˎ̥" w:eastAsia="宋体" w:cs="Arial"/>
                      <w:color w:val="000000"/>
                      <w:kern w:val="0"/>
                      <w:sz w:val="24"/>
                      <w:szCs w:val="24"/>
                      <w:bdr w:val="none" w:color="auto" w:sz="0" w:space="0"/>
                      <w:lang w:val="en-US" w:eastAsia="zh-CN" w:bidi="ar"/>
                    </w:rPr>
                    <w:t>县级以上卫生监督机构出具的现场卫生监督审核意见。</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8.</w:t>
                  </w:r>
                  <w:r>
                    <w:rPr>
                      <w:rFonts w:hint="eastAsia" w:ascii="ˎ̥" w:hAnsi="ˎ̥" w:eastAsia="宋体" w:cs="Arial"/>
                      <w:color w:val="000000"/>
                      <w:kern w:val="0"/>
                      <w:sz w:val="24"/>
                      <w:szCs w:val="24"/>
                      <w:bdr w:val="none" w:color="auto" w:sz="0" w:space="0"/>
                      <w:lang w:val="en-US" w:eastAsia="zh-CN" w:bidi="ar"/>
                    </w:rPr>
                    <w:t>法律、法规规定应当提交的其他材料。</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第十二条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幼儿园应当使用规范的名称</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一般应当与所在地的地名连用。</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名称中不能单独冠以省、省辖市的名称或地名</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不得冠以</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中华</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中国</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国际</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等字样</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名称中冠以</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河南</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河南省</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字样的</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须经省教育部门和有关部门批准。</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名称中不得使用带有宗教色彩和迷信含义的字词。</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第十三条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举办民办幼儿园应当依照《中华人民共和国民办教育促进法》有关规定执行。承办公建民营模式幼儿园的</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应当与教育部门签订委托办园合同或协议</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明确权利和义务。</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第十四条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幼儿园举办分园或合作办园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必须经主管部门同意后报原审批机关批准。各类幼儿园的分园或合作办园必须具有独立的法人</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实行独立的经济核算</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有独立的园舍</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并独立开展保育和教育工作。</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中外合作办园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按照《中华人民共和国中外合作办学条例》</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国务院令第</w:t>
                  </w:r>
                  <w:r>
                    <w:rPr>
                      <w:rFonts w:hint="default" w:ascii="Calibri" w:hAnsi="Calibri" w:eastAsia="ˎ̥" w:cs="Calibri"/>
                      <w:color w:val="000000"/>
                      <w:kern w:val="0"/>
                      <w:sz w:val="24"/>
                      <w:szCs w:val="24"/>
                      <w:bdr w:val="none" w:color="auto" w:sz="0" w:space="0"/>
                      <w:lang w:val="en-US" w:eastAsia="zh-CN" w:bidi="ar"/>
                    </w:rPr>
                    <w:t>372</w:t>
                  </w:r>
                  <w:r>
                    <w:rPr>
                      <w:rFonts w:hint="eastAsia" w:ascii="ˎ̥" w:hAnsi="ˎ̥" w:eastAsia="宋体" w:cs="Arial"/>
                      <w:color w:val="000000"/>
                      <w:kern w:val="0"/>
                      <w:sz w:val="24"/>
                      <w:szCs w:val="24"/>
                      <w:bdr w:val="none" w:color="auto" w:sz="0" w:space="0"/>
                      <w:lang w:val="en-US" w:eastAsia="zh-CN" w:bidi="ar"/>
                    </w:rPr>
                    <w:t>号</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要求</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由省教育部门审批。</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城市</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含市区和县城</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不得举办任何形式的学前班。</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第十五条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对已取得《办园许可证》并办理登记手续的幼儿园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价格主管、财政、卫生、税务等有关部门应当按照规定及时办理相关手续。</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幼儿园办理完毕上述各项手续后方可招生。</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第十六条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建立定期复核审验和动态管理制度。审批机关依法对批准举办的幼儿园每年进行一次复核审验</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审验项目由审批机关确定</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审验结果向社会公示。</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第十七条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幼儿园一经登记</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不得随意变更主办单位或主办人</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不得擅自搬迁。如确需变更</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须由主办单位或主办人提出书面申请</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经原审批机关同意后方可变更。</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幼儿园变更登记事项</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经原审批机关同意后</w:t>
                  </w:r>
                  <w:r>
                    <w:rPr>
                      <w:rFonts w:hint="default" w:ascii="Calibri" w:hAnsi="Calibri" w:eastAsia="ˎ̥" w:cs="Calibri"/>
                      <w:color w:val="000000"/>
                      <w:kern w:val="0"/>
                      <w:sz w:val="24"/>
                      <w:szCs w:val="24"/>
                      <w:bdr w:val="none" w:color="auto" w:sz="0" w:space="0"/>
                      <w:lang w:val="en-US" w:eastAsia="zh-CN" w:bidi="ar"/>
                    </w:rPr>
                    <w:t>30</w:t>
                  </w:r>
                  <w:r>
                    <w:rPr>
                      <w:rFonts w:hint="eastAsia" w:ascii="ˎ̥" w:hAnsi="ˎ̥" w:eastAsia="宋体" w:cs="Arial"/>
                      <w:color w:val="000000"/>
                      <w:kern w:val="0"/>
                      <w:sz w:val="24"/>
                      <w:szCs w:val="24"/>
                      <w:bdr w:val="none" w:color="auto" w:sz="0" w:space="0"/>
                      <w:lang w:val="en-US" w:eastAsia="zh-CN" w:bidi="ar"/>
                    </w:rPr>
                    <w:t>日内到相关部门办理登记变更手续。</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第十八条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幼儿园因故停办</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主办单位或主办人须提前</w:t>
                  </w:r>
                  <w:r>
                    <w:rPr>
                      <w:rFonts w:hint="default" w:ascii="Calibri" w:hAnsi="Calibri" w:eastAsia="ˎ̥" w:cs="Calibri"/>
                      <w:color w:val="000000"/>
                      <w:kern w:val="0"/>
                      <w:sz w:val="24"/>
                      <w:szCs w:val="24"/>
                      <w:bdr w:val="none" w:color="auto" w:sz="0" w:space="0"/>
                      <w:lang w:val="en-US" w:eastAsia="zh-CN" w:bidi="ar"/>
                    </w:rPr>
                    <w:t>30</w:t>
                  </w:r>
                  <w:r>
                    <w:rPr>
                      <w:rFonts w:hint="eastAsia" w:ascii="ˎ̥" w:hAnsi="ˎ̥" w:eastAsia="宋体" w:cs="Arial"/>
                      <w:color w:val="000000"/>
                      <w:kern w:val="0"/>
                      <w:sz w:val="24"/>
                      <w:szCs w:val="24"/>
                      <w:bdr w:val="none" w:color="auto" w:sz="0" w:space="0"/>
                      <w:lang w:val="en-US" w:eastAsia="zh-CN" w:bidi="ar"/>
                    </w:rPr>
                    <w:t>日向原审批机关提出书面申请</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同时提交资产清理方案、教职工及幼儿分流安置方案</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经核准后方可停办。</w:t>
                  </w:r>
                </w:p>
                <w:p>
                  <w:pPr>
                    <w:keepNext w:val="0"/>
                    <w:keepLines w:val="0"/>
                    <w:widowControl/>
                    <w:suppressLineNumbers w:val="0"/>
                    <w:spacing w:before="0" w:beforeAutospacing="1" w:after="0" w:afterAutospacing="1" w:line="360" w:lineRule="auto"/>
                    <w:ind w:left="708" w:leftChars="337" w:right="723" w:firstLine="14" w:firstLineChars="6"/>
                    <w:jc w:val="center"/>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第二章</w:t>
                  </w:r>
                  <w:r>
                    <w:rPr>
                      <w:rFonts w:hint="default" w:ascii="Calibri" w:hAnsi="Calibri" w:eastAsia="ˎ̥" w:cs="Calibri"/>
                      <w:b/>
                      <w:color w:val="000000"/>
                      <w:kern w:val="0"/>
                      <w:sz w:val="24"/>
                      <w:szCs w:val="24"/>
                      <w:bdr w:val="none" w:color="auto" w:sz="0" w:space="0"/>
                      <w:lang w:val="en-US" w:eastAsia="zh-CN" w:bidi="ar"/>
                    </w:rPr>
                    <w:t xml:space="preserve"> </w:t>
                  </w:r>
                  <w:r>
                    <w:rPr>
                      <w:rFonts w:hint="eastAsia" w:ascii="ˎ̥" w:hAnsi="ˎ̥" w:eastAsia="宋体" w:cs="Arial"/>
                      <w:b/>
                      <w:color w:val="000000"/>
                      <w:kern w:val="0"/>
                      <w:sz w:val="24"/>
                      <w:szCs w:val="24"/>
                      <w:bdr w:val="none" w:color="auto" w:sz="0" w:space="0"/>
                      <w:lang w:val="en-US" w:eastAsia="zh-CN" w:bidi="ar"/>
                    </w:rPr>
                    <w:t>保育和教育</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第十九条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幼儿园应当贯彻保育和教育相结合的原则</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创设与幼儿的教育和发展相适应的和谐环境</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引导幼儿个性健康发展。</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幼儿园应当保障幼儿的身体健康</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培养幼儿良好的生活、卫生习惯</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促进幼儿的智力发展</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培养幼儿热爱祖国的情感以及良好的品德行为。</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第二十条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幼儿园的招生应当符合教育部门的规定。幼儿园的班额一般为小班</w:t>
                  </w:r>
                  <w:r>
                    <w:rPr>
                      <w:rFonts w:hint="default" w:ascii="Calibri" w:hAnsi="Calibri" w:eastAsia="ˎ̥" w:cs="Calibri"/>
                      <w:color w:val="000000"/>
                      <w:kern w:val="0"/>
                      <w:sz w:val="24"/>
                      <w:szCs w:val="24"/>
                      <w:bdr w:val="none" w:color="auto" w:sz="0" w:space="0"/>
                      <w:lang w:val="en-US" w:eastAsia="zh-CN" w:bidi="ar"/>
                    </w:rPr>
                    <w:t>25</w:t>
                  </w:r>
                  <w:r>
                    <w:rPr>
                      <w:rFonts w:hint="eastAsia" w:ascii="ˎ̥" w:hAnsi="ˎ̥" w:eastAsia="宋体" w:cs="Arial"/>
                      <w:color w:val="000000"/>
                      <w:kern w:val="0"/>
                      <w:sz w:val="24"/>
                      <w:szCs w:val="24"/>
                      <w:bdr w:val="none" w:color="auto" w:sz="0" w:space="0"/>
                      <w:lang w:val="en-US" w:eastAsia="zh-CN" w:bidi="ar"/>
                    </w:rPr>
                    <w:t>人、中班</w:t>
                  </w:r>
                  <w:r>
                    <w:rPr>
                      <w:rFonts w:hint="default" w:ascii="Calibri" w:hAnsi="Calibri" w:eastAsia="ˎ̥" w:cs="Calibri"/>
                      <w:color w:val="000000"/>
                      <w:kern w:val="0"/>
                      <w:sz w:val="24"/>
                      <w:szCs w:val="24"/>
                      <w:bdr w:val="none" w:color="auto" w:sz="0" w:space="0"/>
                      <w:lang w:val="en-US" w:eastAsia="zh-CN" w:bidi="ar"/>
                    </w:rPr>
                    <w:t>30</w:t>
                  </w:r>
                  <w:r>
                    <w:rPr>
                      <w:rFonts w:hint="eastAsia" w:ascii="ˎ̥" w:hAnsi="ˎ̥" w:eastAsia="宋体" w:cs="Arial"/>
                      <w:color w:val="000000"/>
                      <w:kern w:val="0"/>
                      <w:sz w:val="24"/>
                      <w:szCs w:val="24"/>
                      <w:bdr w:val="none" w:color="auto" w:sz="0" w:space="0"/>
                      <w:lang w:val="en-US" w:eastAsia="zh-CN" w:bidi="ar"/>
                    </w:rPr>
                    <w:t>人、大班</w:t>
                  </w:r>
                  <w:r>
                    <w:rPr>
                      <w:rFonts w:hint="default" w:ascii="Calibri" w:hAnsi="Calibri" w:eastAsia="ˎ̥" w:cs="Calibri"/>
                      <w:color w:val="000000"/>
                      <w:kern w:val="0"/>
                      <w:sz w:val="24"/>
                      <w:szCs w:val="24"/>
                      <w:bdr w:val="none" w:color="auto" w:sz="0" w:space="0"/>
                      <w:lang w:val="en-US" w:eastAsia="zh-CN" w:bidi="ar"/>
                    </w:rPr>
                    <w:t>35</w:t>
                  </w:r>
                  <w:r>
                    <w:rPr>
                      <w:rFonts w:hint="eastAsia" w:ascii="ˎ̥" w:hAnsi="ˎ̥" w:eastAsia="宋体" w:cs="Arial"/>
                      <w:color w:val="000000"/>
                      <w:kern w:val="0"/>
                      <w:sz w:val="24"/>
                      <w:szCs w:val="24"/>
                      <w:bdr w:val="none" w:color="auto" w:sz="0" w:space="0"/>
                      <w:lang w:val="en-US" w:eastAsia="zh-CN" w:bidi="ar"/>
                    </w:rPr>
                    <w:t>人。有条件的可设小托班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班额一般为</w:t>
                  </w:r>
                  <w:r>
                    <w:rPr>
                      <w:rFonts w:hint="default" w:ascii="Calibri" w:hAnsi="Calibri" w:eastAsia="ˎ̥" w:cs="Calibri"/>
                      <w:color w:val="000000"/>
                      <w:kern w:val="0"/>
                      <w:sz w:val="24"/>
                      <w:szCs w:val="24"/>
                      <w:bdr w:val="none" w:color="auto" w:sz="0" w:space="0"/>
                      <w:lang w:val="en-US" w:eastAsia="zh-CN" w:bidi="ar"/>
                    </w:rPr>
                    <w:t>20</w:t>
                  </w:r>
                  <w:r>
                    <w:rPr>
                      <w:rFonts w:hint="eastAsia" w:ascii="ˎ̥" w:hAnsi="ˎ̥" w:eastAsia="宋体" w:cs="Arial"/>
                      <w:color w:val="000000"/>
                      <w:kern w:val="0"/>
                      <w:sz w:val="24"/>
                      <w:szCs w:val="24"/>
                      <w:bdr w:val="none" w:color="auto" w:sz="0" w:space="0"/>
                      <w:lang w:val="en-US" w:eastAsia="zh-CN" w:bidi="ar"/>
                    </w:rPr>
                    <w:t>人。农村学前班不得超过</w:t>
                  </w:r>
                  <w:r>
                    <w:rPr>
                      <w:rFonts w:hint="default" w:ascii="Calibri" w:hAnsi="Calibri" w:eastAsia="ˎ̥" w:cs="Calibri"/>
                      <w:color w:val="000000"/>
                      <w:kern w:val="0"/>
                      <w:sz w:val="24"/>
                      <w:szCs w:val="24"/>
                      <w:bdr w:val="none" w:color="auto" w:sz="0" w:space="0"/>
                      <w:lang w:val="en-US" w:eastAsia="zh-CN" w:bidi="ar"/>
                    </w:rPr>
                    <w:t>40</w:t>
                  </w:r>
                  <w:r>
                    <w:rPr>
                      <w:rFonts w:hint="eastAsia" w:ascii="ˎ̥" w:hAnsi="ˎ̥" w:eastAsia="宋体" w:cs="Arial"/>
                      <w:color w:val="000000"/>
                      <w:kern w:val="0"/>
                      <w:sz w:val="24"/>
                      <w:szCs w:val="24"/>
                      <w:bdr w:val="none" w:color="auto" w:sz="0" w:space="0"/>
                      <w:lang w:val="en-US" w:eastAsia="zh-CN" w:bidi="ar"/>
                    </w:rPr>
                    <w:t>人。寄宿制幼儿园每班幼儿人数酌减。</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第二十一条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幼儿入园时</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幼儿园需查验其预防接种证</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并向所在地疾控机构报告</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督促未完成接种程序的幼儿及时查漏补种相关疫苗。未按规定完成预防接种程序的幼儿不宜入园。幼儿入园前应当到妇幼保健机构等具备资质的医疗卫生机构进行体检</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体检不合格者不得入园。</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除入园体检外</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幼儿入园时禁止举行任何形式的考试或测查。</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第二十二条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幼儿园应当使用普通话。</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第二十三条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幼儿园应当以游戏为基本活动形式</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寓教育于生活及各项活动之中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防止小学化、成人化倾向</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引导幼儿身心科学健康发展。</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第二十四条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教职工应当具有良好的职业道德</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尊重爱护幼儿</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成为幼儿学习活动的引导者、支持者、合作者。</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严禁体罚、变相体罚幼儿。</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第二十五条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幼儿园应当建立科学的一日生活制度</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合理安排幼儿就餐、午睡、游戏、户外活动、教育活动时间。两餐之间的间隔一般为</w:t>
                  </w:r>
                  <w:r>
                    <w:rPr>
                      <w:rFonts w:hint="default" w:ascii="Calibri" w:hAnsi="Calibri" w:eastAsia="ˎ̥" w:cs="Calibri"/>
                      <w:color w:val="000000"/>
                      <w:kern w:val="0"/>
                      <w:sz w:val="24"/>
                      <w:szCs w:val="24"/>
                      <w:bdr w:val="none" w:color="auto" w:sz="0" w:space="0"/>
                      <w:lang w:val="en-US" w:eastAsia="zh-CN" w:bidi="ar"/>
                    </w:rPr>
                    <w:t>3.5</w:t>
                  </w:r>
                  <w:r>
                    <w:rPr>
                      <w:rFonts w:hint="eastAsia" w:ascii="ˎ̥" w:hAnsi="ˎ̥" w:eastAsia="宋体" w:cs="Arial"/>
                      <w:color w:val="000000"/>
                      <w:kern w:val="0"/>
                      <w:sz w:val="24"/>
                      <w:szCs w:val="24"/>
                      <w:bdr w:val="none" w:color="auto" w:sz="0" w:space="0"/>
                      <w:lang w:val="en-US" w:eastAsia="zh-CN" w:bidi="ar"/>
                    </w:rPr>
                    <w:t>小时</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一日活动中户外活动时间不少于</w:t>
                  </w:r>
                  <w:r>
                    <w:rPr>
                      <w:rFonts w:hint="default" w:ascii="Calibri" w:hAnsi="Calibri" w:eastAsia="ˎ̥" w:cs="Calibri"/>
                      <w:color w:val="000000"/>
                      <w:kern w:val="0"/>
                      <w:sz w:val="24"/>
                      <w:szCs w:val="24"/>
                      <w:bdr w:val="none" w:color="auto" w:sz="0" w:space="0"/>
                      <w:lang w:val="en-US" w:eastAsia="zh-CN" w:bidi="ar"/>
                    </w:rPr>
                    <w:t>2</w:t>
                  </w:r>
                  <w:r>
                    <w:rPr>
                      <w:rFonts w:hint="eastAsia" w:ascii="ˎ̥" w:hAnsi="ˎ̥" w:eastAsia="宋体" w:cs="Arial"/>
                      <w:color w:val="000000"/>
                      <w:kern w:val="0"/>
                      <w:sz w:val="24"/>
                      <w:szCs w:val="24"/>
                      <w:bdr w:val="none" w:color="auto" w:sz="0" w:space="0"/>
                      <w:lang w:val="en-US" w:eastAsia="zh-CN" w:bidi="ar"/>
                    </w:rPr>
                    <w:t>小时</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其中体育活动不少于</w:t>
                  </w:r>
                  <w:r>
                    <w:rPr>
                      <w:rFonts w:hint="default" w:ascii="Calibri" w:hAnsi="Calibri" w:eastAsia="ˎ̥" w:cs="Calibri"/>
                      <w:color w:val="000000"/>
                      <w:kern w:val="0"/>
                      <w:sz w:val="24"/>
                      <w:szCs w:val="24"/>
                      <w:bdr w:val="none" w:color="auto" w:sz="0" w:space="0"/>
                      <w:lang w:val="en-US" w:eastAsia="zh-CN" w:bidi="ar"/>
                    </w:rPr>
                    <w:t>1</w:t>
                  </w:r>
                  <w:r>
                    <w:rPr>
                      <w:rFonts w:hint="eastAsia" w:ascii="ˎ̥" w:hAnsi="ˎ̥" w:eastAsia="宋体" w:cs="Arial"/>
                      <w:color w:val="000000"/>
                      <w:kern w:val="0"/>
                      <w:sz w:val="24"/>
                      <w:szCs w:val="24"/>
                      <w:bdr w:val="none" w:color="auto" w:sz="0" w:space="0"/>
                      <w:lang w:val="en-US" w:eastAsia="zh-CN" w:bidi="ar"/>
                    </w:rPr>
                    <w:t>小时。</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第二十六条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幼儿园应当建立科学的保育教育评价体系。</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幼儿园应当为每个幼儿建立成长档案。教师和保育人员应当做好幼儿观察记录和个案分析工作</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有针对性地观察幼儿的行为、表现</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及时分析幼儿的发展状况、发展要求</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及时调整教学设计。</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第二十七条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幼儿园应当积极开展教研活动。针对幼儿的教育实验须经当地县级以上教育部门批准。未经批准</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幼儿园不得开展各种形式的教育实验</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不得随意悬挂各种教育实验和研究基地的牌匾。</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第二十八条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幼儿园不得要求幼儿统一购买任何教材和幼儿读物。</w:t>
                  </w:r>
                </w:p>
                <w:p>
                  <w:pPr>
                    <w:keepNext w:val="0"/>
                    <w:keepLines w:val="0"/>
                    <w:widowControl/>
                    <w:suppressLineNumbers w:val="0"/>
                    <w:spacing w:before="0" w:beforeAutospacing="1" w:after="0" w:afterAutospacing="1" w:line="360" w:lineRule="auto"/>
                    <w:ind w:left="708" w:leftChars="337" w:right="723" w:firstLine="14" w:firstLineChars="6"/>
                    <w:jc w:val="center"/>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第三章</w:t>
                  </w:r>
                  <w:r>
                    <w:rPr>
                      <w:rFonts w:hint="default" w:ascii="Calibri" w:hAnsi="Calibri" w:eastAsia="ˎ̥" w:cs="Calibri"/>
                      <w:b/>
                      <w:color w:val="000000"/>
                      <w:kern w:val="0"/>
                      <w:sz w:val="24"/>
                      <w:szCs w:val="24"/>
                      <w:bdr w:val="none" w:color="auto" w:sz="0" w:space="0"/>
                      <w:lang w:val="en-US" w:eastAsia="zh-CN" w:bidi="ar"/>
                    </w:rPr>
                    <w:t xml:space="preserve"> </w:t>
                  </w:r>
                  <w:r>
                    <w:rPr>
                      <w:rFonts w:hint="eastAsia" w:ascii="ˎ̥" w:hAnsi="ˎ̥" w:eastAsia="宋体" w:cs="Arial"/>
                      <w:b/>
                      <w:color w:val="000000"/>
                      <w:kern w:val="0"/>
                      <w:sz w:val="24"/>
                      <w:szCs w:val="24"/>
                      <w:bdr w:val="none" w:color="auto" w:sz="0" w:space="0"/>
                      <w:lang w:val="en-US" w:eastAsia="zh-CN" w:bidi="ar"/>
                    </w:rPr>
                    <w:t>行政事务</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第二十九条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幼儿园实行园长负责制</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园长全面负责幼儿园的工作。</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幼儿园园长由举办幼儿园的单位、组织或个人聘用</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并向幼儿园的审批机关备案。</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民办幼儿园的教师、医师、保健员、保育员及其他工作人员由幼儿园园长聘用</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也可由举办幼儿园的单位、组织或个人聘用。</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公办幼儿园教职工的配备使用</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按照国家和我省事业单位人事管理相关政策执行。</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第三十条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幼儿园应当按照国家和我省的有关规定配备教职工。民办幼儿园聘用教职工应当按劳动保障有关法律、法规的要求办理聘用手续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依法保障教职工的合法权益。</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第三十一条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幼儿园的园长、教师和其他工作人员应当具备国家规定的合格学历</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取得相应任职资格</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并符合《幼儿园工作规程》规定的其他各项条件。</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第三十二条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幼儿园的各类工作人员应当取得健康合格证明。精神病及慢性传染病患者不得从事幼儿园的工作。</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第三十三条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幼儿园工作人员应当按照教育部门及相关部门的规定</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参加岗位培训和继续教育。</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幼儿园应当通过多种形式</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为教师的科研、教研提供条件</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促进教师专业成长。</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第三十四条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幼儿园应当有稳定的经费来源</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确保保育和教育工作正常运转。幼儿园的举办者或承办者每年应当安排一定的专项资金进行园舍维护保养、设备更新。</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第三十五条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幼儿园必须严格执行价格主管、财政、教育等部门关于幼儿园收费管理的规定。</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第三十六条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幼儿园不得以开办实验班、特色班和兴趣班等为由另外收取费用</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不得通过组织幼儿活动牟取经济利益。</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第三十七条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幼儿园应当遵守财务管理制度</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实行经费独立核算</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收费专款专用</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自觉接受审计监督。</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幼儿的膳食经费必须建立专门账户</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定期向幼儿家长公开账目。</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第三十八条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幼儿园每年应当有一定比例的经费用于添置玩教具和图书。</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第三十九条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鼓励和支持社会组织、公民个人向幼儿园捐赠财物。</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幼儿园接受捐赠须依照国家有关法律、法规执行。</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第四十条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幼儿园应当建立与家长联系制度</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成立家长委员会</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通过开办家长学校、召开家长会、开展家长开放日活动等形式</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指导家长科学育儿。</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省、市级示范性幼儿园应当积极探索、创造条件</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逐步开展以社区为依托、向家庭辐射的</w:t>
                  </w:r>
                  <w:r>
                    <w:rPr>
                      <w:rFonts w:hint="default" w:ascii="Calibri" w:hAnsi="Calibri" w:eastAsia="ˎ̥" w:cs="Calibri"/>
                      <w:color w:val="000000"/>
                      <w:kern w:val="0"/>
                      <w:sz w:val="24"/>
                      <w:szCs w:val="24"/>
                      <w:bdr w:val="none" w:color="auto" w:sz="0" w:space="0"/>
                      <w:lang w:val="en-US" w:eastAsia="zh-CN" w:bidi="ar"/>
                    </w:rPr>
                    <w:t>0—3</w:t>
                  </w:r>
                  <w:r>
                    <w:rPr>
                      <w:rFonts w:hint="eastAsia" w:ascii="ˎ̥" w:hAnsi="ˎ̥" w:eastAsia="宋体" w:cs="Arial"/>
                      <w:color w:val="000000"/>
                      <w:kern w:val="0"/>
                      <w:sz w:val="24"/>
                      <w:szCs w:val="24"/>
                      <w:bdr w:val="none" w:color="auto" w:sz="0" w:space="0"/>
                      <w:lang w:val="en-US" w:eastAsia="zh-CN" w:bidi="ar"/>
                    </w:rPr>
                    <w:t>岁婴幼儿早期教育指导及服务工作。</w:t>
                  </w:r>
                </w:p>
                <w:p>
                  <w:pPr>
                    <w:keepNext w:val="0"/>
                    <w:keepLines w:val="0"/>
                    <w:widowControl/>
                    <w:suppressLineNumbers w:val="0"/>
                    <w:spacing w:before="0" w:beforeAutospacing="1" w:after="0" w:afterAutospacing="1" w:line="360" w:lineRule="auto"/>
                    <w:ind w:left="708" w:leftChars="337" w:right="723" w:firstLine="14" w:firstLineChars="6"/>
                    <w:jc w:val="center"/>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第四章</w:t>
                  </w:r>
                  <w:r>
                    <w:rPr>
                      <w:rFonts w:hint="default" w:ascii="Calibri" w:hAnsi="Calibri" w:eastAsia="ˎ̥" w:cs="Calibri"/>
                      <w:b/>
                      <w:color w:val="000000"/>
                      <w:kern w:val="0"/>
                      <w:sz w:val="24"/>
                      <w:szCs w:val="24"/>
                      <w:bdr w:val="none" w:color="auto" w:sz="0" w:space="0"/>
                      <w:lang w:val="en-US" w:eastAsia="zh-CN" w:bidi="ar"/>
                    </w:rPr>
                    <w:t xml:space="preserve"> </w:t>
                  </w:r>
                  <w:r>
                    <w:rPr>
                      <w:rFonts w:hint="eastAsia" w:ascii="ˎ̥" w:hAnsi="ˎ̥" w:eastAsia="宋体" w:cs="Arial"/>
                      <w:b/>
                      <w:color w:val="000000"/>
                      <w:kern w:val="0"/>
                      <w:sz w:val="24"/>
                      <w:szCs w:val="24"/>
                      <w:bdr w:val="none" w:color="auto" w:sz="0" w:space="0"/>
                      <w:lang w:val="en-US" w:eastAsia="zh-CN" w:bidi="ar"/>
                    </w:rPr>
                    <w:t>安全与卫生</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第四十一条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各级政府及其教育、公安、司法、住房城乡建设、交通运输、文化、卫生、工商、质监、新闻出版等部门应当按照职责分工</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依法负责幼儿园安全工作</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履行幼儿园周边环境治理和幼儿园安全监督与管理职责。</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第四十二条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幼儿园应当增强安全意识</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设置治安保卫机构</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建立健全安全管理制度</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制定各类安全工作预案</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定期组织突发事件预案演练。</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第四十三条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幼儿园应当加强教职工和幼儿安全教育</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提高教职工保护幼儿安全的技能和幼儿自我保护能力。</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第四十四条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幼儿园应当根据有关规定配备专职保安人员和必要的装备器械</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在重点部位设置视频监控和报警设施并与公安部门联网。</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第四十五条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幼儿园应当定期检查、维修园舍、设施</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并组织专门人员每日进行巡检、记录</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加强火源、电源管理</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及时排除安全隐患</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确保幼儿生命安全。</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第四十六条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任何单位和个人不得侵占和破坏幼儿园园舍和设施</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不得在幼儿园周围设置有危险、有污染或影响幼儿园采光的建筑和设施</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不得干扰幼儿园正常的工作秩序。</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第四十七条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幼儿园应当建立健全各项卫生保健制度和预防接种证查验制度。</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第四十八条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幼儿园应当建立预防食物中毒、传染病流行的预案并严格执行</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协助所在地疾控机构开展对适龄儿童的预防接种工作。</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幼儿园发生食物中毒、传染病流行事故时</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举办幼儿园的单位、组织或个人应当立即采取紧急救护措施</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同时在规定时限内及时上报相关部门</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并按照相关规定做好善后工作。</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第四十九条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幼儿园食堂应当严格执行食品卫生安全制度</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各种证照必须齐全。</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幼儿餐具、饮水器具应当专人专用</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并进行定期消毒</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防止交叉感染。</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第五十条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幼儿园应当建立监护人与教师的幼儿交接制度。有校车的幼儿园应当遵照《校车安全管理条例》</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国务院令第</w:t>
                  </w:r>
                  <w:r>
                    <w:rPr>
                      <w:rFonts w:hint="default" w:ascii="Calibri" w:hAnsi="Calibri" w:eastAsia="ˎ̥" w:cs="Calibri"/>
                      <w:color w:val="000000"/>
                      <w:kern w:val="0"/>
                      <w:sz w:val="24"/>
                      <w:szCs w:val="24"/>
                      <w:bdr w:val="none" w:color="auto" w:sz="0" w:space="0"/>
                      <w:lang w:val="en-US" w:eastAsia="zh-CN" w:bidi="ar"/>
                    </w:rPr>
                    <w:t>617</w:t>
                  </w:r>
                  <w:r>
                    <w:rPr>
                      <w:rFonts w:hint="eastAsia" w:ascii="ˎ̥" w:hAnsi="ˎ̥" w:eastAsia="宋体" w:cs="Arial"/>
                      <w:color w:val="000000"/>
                      <w:kern w:val="0"/>
                      <w:sz w:val="24"/>
                      <w:szCs w:val="24"/>
                      <w:bdr w:val="none" w:color="auto" w:sz="0" w:space="0"/>
                      <w:lang w:val="en-US" w:eastAsia="zh-CN" w:bidi="ar"/>
                    </w:rPr>
                    <w:t>号</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规定</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使用按照专用校车国家标准设计和制造的幼儿专用校车</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严格遵守校车安全管理规定。</w:t>
                  </w:r>
                </w:p>
                <w:p>
                  <w:pPr>
                    <w:keepNext w:val="0"/>
                    <w:keepLines w:val="0"/>
                    <w:widowControl/>
                    <w:suppressLineNumbers w:val="0"/>
                    <w:spacing w:before="0" w:beforeAutospacing="1" w:after="0" w:afterAutospacing="1" w:line="360" w:lineRule="auto"/>
                    <w:ind w:left="708" w:leftChars="337" w:right="723" w:firstLine="14" w:firstLineChars="6"/>
                    <w:jc w:val="center"/>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第五章</w:t>
                  </w:r>
                  <w:r>
                    <w:rPr>
                      <w:rFonts w:hint="default" w:ascii="Calibri" w:hAnsi="Calibri" w:eastAsia="ˎ̥" w:cs="Calibri"/>
                      <w:b/>
                      <w:color w:val="000000"/>
                      <w:kern w:val="0"/>
                      <w:sz w:val="24"/>
                      <w:szCs w:val="24"/>
                      <w:bdr w:val="none" w:color="auto" w:sz="0" w:space="0"/>
                      <w:lang w:val="en-US" w:eastAsia="zh-CN" w:bidi="ar"/>
                    </w:rPr>
                    <w:t xml:space="preserve"> </w:t>
                  </w:r>
                  <w:r>
                    <w:rPr>
                      <w:rFonts w:hint="eastAsia" w:ascii="ˎ̥" w:hAnsi="ˎ̥" w:eastAsia="宋体" w:cs="Arial"/>
                      <w:b/>
                      <w:color w:val="000000"/>
                      <w:kern w:val="0"/>
                      <w:sz w:val="24"/>
                      <w:szCs w:val="24"/>
                      <w:bdr w:val="none" w:color="auto" w:sz="0" w:space="0"/>
                      <w:lang w:val="en-US" w:eastAsia="zh-CN" w:bidi="ar"/>
                    </w:rPr>
                    <w:t>奖励和处罚</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Calibri" w:hAnsi="Calibri" w:eastAsia="ˎ̥" w:cs="Calibri"/>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第五十一条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对认真执行本办法并具备下列条件之一的</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由政府或教育部门予以表彰和奖励</w:t>
                  </w:r>
                  <w:r>
                    <w:rPr>
                      <w:rFonts w:hint="default" w:ascii="Calibri" w:hAnsi="Calibri" w:eastAsia="ˎ̥" w:cs="Calibri"/>
                      <w:color w:val="000000"/>
                      <w:kern w:val="0"/>
                      <w:sz w:val="24"/>
                      <w:szCs w:val="24"/>
                      <w:bdr w:val="none" w:color="auto" w:sz="0" w:space="0"/>
                      <w:lang w:val="en-US" w:eastAsia="zh-CN" w:bidi="ar"/>
                    </w:rPr>
                    <w:t>:</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一</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办园方向明确</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普惠性和公益性突出的。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二</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改善幼儿园办园条件成绩显著的。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三</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保育、教育工作成绩显著的。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四</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幼儿园管理工作成绩显著的。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eastAsia" w:ascii="ˎ̥" w:hAnsi="ˎ̥" w:eastAsia="宋体" w:cs="Arial"/>
                      <w:b/>
                      <w:color w:val="000000"/>
                      <w:kern w:val="0"/>
                      <w:sz w:val="24"/>
                      <w:szCs w:val="24"/>
                      <w:bdr w:val="none" w:color="auto" w:sz="0" w:space="0"/>
                      <w:lang w:val="en-US" w:eastAsia="zh-CN" w:bidi="ar"/>
                    </w:rPr>
                    <w:t>第五十二条</w:t>
                  </w: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对违反本办法第九条</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未经批准擅自举办幼儿园的</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由教育、民政等部门依据有关法规下达依法取缔的行政处罚决定</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在规定期限内拒不执行处罚决定或取缔后再次擅自开办幼儿园的</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由教育、民政等部门强制取缔。</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对违反本办法其他条款</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具备下列情形之一的单位和个人</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视其情节轻重</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由政府及其教育部门或相关部门根据管理权限给予责令整改、停止办园和吊销《办园许可证》等处罚</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或由教育部门建议有关部门对直接责任人员给予行政处分。情节严重</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构成犯罪的</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由司法机关依法追究法律责任。</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一</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擅自改变有关登记事项的。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二</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发布虚假招生简章或广告</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骗取钱财的。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三</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园舍、设施不符合国家卫生标准、安全标准</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妨害幼儿身体健康或威胁幼儿生命安全的。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四</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教育内容和方法违背幼儿教育规律</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损害幼儿身心健康的。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五</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管理混乱</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严重影响保育、教育工作</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产生恶劣社会影响的。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六</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提交虚假证明文件或采取其他欺诈手段隐瞒重要事实骗取《办园许可证》的。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七</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恶意终止办园、抽逃资金或克扣、挪用办园经费的。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八</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违反国家规定聘任、解聘教师的。</w:t>
                  </w:r>
                </w:p>
                <w:p>
                  <w:pPr>
                    <w:keepNext w:val="0"/>
                    <w:keepLines w:val="0"/>
                    <w:widowControl/>
                    <w:suppressLineNumbers w:val="0"/>
                    <w:spacing w:before="0" w:beforeAutospacing="1" w:after="0" w:afterAutospacing="1" w:line="360" w:lineRule="auto"/>
                    <w:ind w:left="708" w:leftChars="337" w:right="723" w:firstLine="14" w:firstLineChars="6"/>
                    <w:jc w:val="left"/>
                    <w:rPr>
                      <w:rFonts w:hint="default" w:ascii="ˎ̥" w:hAnsi="ˎ̥" w:eastAsia="ˎ̥" w:cs="Arial"/>
                      <w:color w:val="000000"/>
                      <w:kern w:val="0"/>
                      <w:sz w:val="24"/>
                      <w:szCs w:val="24"/>
                      <w:bdr w:val="none" w:color="auto" w:sz="0" w:space="0"/>
                      <w:lang w:val="en-US"/>
                    </w:rPr>
                  </w:pPr>
                  <w:r>
                    <w:rPr>
                      <w:rFonts w:hint="eastAsia" w:ascii="ˎ̥" w:hAnsi="ˎ̥" w:eastAsia="宋体" w:cs="Arial"/>
                      <w:color w:val="000000"/>
                      <w:kern w:val="0"/>
                      <w:sz w:val="24"/>
                      <w:szCs w:val="24"/>
                      <w:bdr w:val="none" w:color="auto" w:sz="0" w:space="0"/>
                      <w:lang w:val="en-US" w:eastAsia="zh-CN" w:bidi="ar"/>
                    </w:rPr>
                    <w:t>　　</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九</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体罚或变相体罚幼儿的。</w:t>
                  </w:r>
                </w:p>
                <w:p>
                  <w:pPr>
                    <w:keepNext w:val="0"/>
                    <w:keepLines w:val="0"/>
                    <w:widowControl/>
                    <w:suppressLineNumbers w:val="0"/>
                    <w:spacing w:before="0" w:beforeAutospacing="1" w:after="0" w:afterAutospacing="1" w:line="360" w:lineRule="auto"/>
                    <w:ind w:left="1151" w:leftChars="548" w:right="864"/>
                    <w:jc w:val="left"/>
                    <w:rPr>
                      <w:rFonts w:hint="default" w:ascii="ˎ̥" w:hAnsi="ˎ̥" w:eastAsia="ˎ̥" w:cs="Arial"/>
                      <w:color w:val="000000"/>
                      <w:kern w:val="0"/>
                      <w:sz w:val="24"/>
                      <w:szCs w:val="24"/>
                      <w:bdr w:val="none" w:color="auto" w:sz="0" w:space="0"/>
                      <w:lang w:val="en-US"/>
                    </w:rPr>
                  </w:pP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十</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使用有毒有害物质制作玩教具的。</w:t>
                  </w:r>
                </w:p>
                <w:p>
                  <w:pPr>
                    <w:keepNext w:val="0"/>
                    <w:keepLines w:val="0"/>
                    <w:widowControl/>
                    <w:suppressLineNumbers w:val="0"/>
                    <w:spacing w:before="0" w:beforeAutospacing="1" w:after="0" w:afterAutospacing="1" w:line="360" w:lineRule="auto"/>
                    <w:ind w:left="1151" w:leftChars="548" w:right="864"/>
                    <w:jc w:val="left"/>
                    <w:rPr>
                      <w:rFonts w:hint="default" w:ascii="ˎ̥" w:hAnsi="ˎ̥" w:eastAsia="ˎ̥" w:cs="Arial"/>
                      <w:color w:val="000000"/>
                      <w:kern w:val="0"/>
                      <w:sz w:val="24"/>
                      <w:szCs w:val="24"/>
                      <w:bdr w:val="none" w:color="auto" w:sz="0" w:space="0"/>
                      <w:lang w:val="en-US"/>
                    </w:rPr>
                  </w:pP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十一</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侵占、破坏幼儿园园舍、设备的。</w:t>
                  </w:r>
                </w:p>
                <w:p>
                  <w:pPr>
                    <w:keepNext w:val="0"/>
                    <w:keepLines w:val="0"/>
                    <w:widowControl/>
                    <w:suppressLineNumbers w:val="0"/>
                    <w:spacing w:before="0" w:beforeAutospacing="1" w:after="0" w:afterAutospacing="1" w:line="360" w:lineRule="auto"/>
                    <w:ind w:left="1151" w:leftChars="548" w:right="864"/>
                    <w:jc w:val="left"/>
                    <w:rPr>
                      <w:rFonts w:hint="default" w:ascii="ˎ̥" w:hAnsi="ˎ̥" w:eastAsia="ˎ̥" w:cs="Arial"/>
                      <w:color w:val="000000"/>
                      <w:kern w:val="0"/>
                      <w:sz w:val="24"/>
                      <w:szCs w:val="24"/>
                      <w:bdr w:val="none" w:color="auto" w:sz="0" w:space="0"/>
                      <w:lang w:val="en-US"/>
                    </w:rPr>
                  </w:pP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十二</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干扰幼儿园正常工作秩序的。</w:t>
                  </w:r>
                </w:p>
                <w:p>
                  <w:pPr>
                    <w:keepNext w:val="0"/>
                    <w:keepLines w:val="0"/>
                    <w:widowControl/>
                    <w:suppressLineNumbers w:val="0"/>
                    <w:spacing w:before="0" w:beforeAutospacing="1" w:after="0" w:afterAutospacing="1" w:line="360" w:lineRule="auto"/>
                    <w:ind w:left="1151" w:leftChars="548" w:right="864"/>
                    <w:jc w:val="left"/>
                    <w:rPr>
                      <w:rFonts w:hint="default" w:ascii="ˎ̥" w:hAnsi="ˎ̥" w:eastAsia="ˎ̥" w:cs="Arial"/>
                      <w:color w:val="000000"/>
                      <w:kern w:val="0"/>
                      <w:sz w:val="24"/>
                      <w:szCs w:val="24"/>
                      <w:bdr w:val="none" w:color="auto" w:sz="0" w:space="0"/>
                      <w:lang w:val="en-US"/>
                    </w:rPr>
                  </w:pPr>
                  <w:r>
                    <w:rPr>
                      <w:rFonts w:hint="default" w:ascii="Calibri" w:hAnsi="Calibri" w:eastAsia="ˎ̥" w:cs="Calibri"/>
                      <w:color w:val="000000"/>
                      <w:kern w:val="0"/>
                      <w:sz w:val="24"/>
                      <w:szCs w:val="24"/>
                      <w:bdr w:val="none" w:color="auto" w:sz="0" w:space="0"/>
                      <w:lang w:val="en-US" w:eastAsia="zh-CN" w:bidi="ar"/>
                    </w:rPr>
                    <w:t xml:space="preserve"> (</w:t>
                  </w:r>
                  <w:r>
                    <w:rPr>
                      <w:rFonts w:hint="eastAsia" w:ascii="ˎ̥" w:hAnsi="ˎ̥" w:eastAsia="宋体" w:cs="Arial"/>
                      <w:color w:val="000000"/>
                      <w:kern w:val="0"/>
                      <w:sz w:val="24"/>
                      <w:szCs w:val="24"/>
                      <w:bdr w:val="none" w:color="auto" w:sz="0" w:space="0"/>
                      <w:lang w:val="en-US" w:eastAsia="zh-CN" w:bidi="ar"/>
                    </w:rPr>
                    <w:t>十三</w:t>
                  </w:r>
                  <w:r>
                    <w:rPr>
                      <w:rFonts w:hint="default" w:ascii="Calibri" w:hAnsi="Calibri" w:eastAsia="ˎ̥" w:cs="Calibri"/>
                      <w:color w:val="000000"/>
                      <w:kern w:val="0"/>
                      <w:sz w:val="24"/>
                      <w:szCs w:val="24"/>
                      <w:bdr w:val="none" w:color="auto" w:sz="0" w:space="0"/>
                      <w:lang w:val="en-US" w:eastAsia="zh-CN" w:bidi="ar"/>
                    </w:rPr>
                    <w:t>)</w:t>
                  </w:r>
                  <w:r>
                    <w:rPr>
                      <w:rFonts w:hint="eastAsia" w:ascii="ˎ̥" w:hAnsi="ˎ̥" w:eastAsia="宋体" w:cs="Arial"/>
                      <w:color w:val="000000"/>
                      <w:kern w:val="0"/>
                      <w:sz w:val="24"/>
                      <w:szCs w:val="24"/>
                      <w:bdr w:val="none" w:color="auto" w:sz="0" w:space="0"/>
                      <w:lang w:val="en-US" w:eastAsia="zh-CN" w:bidi="ar"/>
                    </w:rPr>
                    <w:t>在幼儿园周围设置有危险、有污染或影响幼儿园采光的建筑和设施的。</w:t>
                  </w:r>
                </w:p>
              </w:tc>
            </w:tr>
          </w:tbl>
          <w:p>
            <w:pPr>
              <w:keepNext w:val="0"/>
              <w:keepLines w:val="0"/>
              <w:widowControl/>
              <w:suppressLineNumbers w:val="0"/>
              <w:spacing w:before="0" w:beforeAutospacing="0" w:after="0" w:afterAutospacing="0"/>
              <w:ind w:left="142" w:leftChars="67" w:right="-1" w:hanging="1"/>
              <w:jc w:val="center"/>
              <w:rPr>
                <w:rFonts w:hint="default" w:ascii="Arial" w:hAnsi="Arial" w:cs="Arial"/>
                <w:color w:val="000000"/>
                <w:kern w:val="0"/>
                <w:sz w:val="18"/>
                <w:szCs w:val="18"/>
                <w:bdr w:val="none" w:color="auto" w:sz="0" w:space="0"/>
                <w:lang w:val="en-US"/>
              </w:rPr>
            </w:pPr>
          </w:p>
        </w:tc>
      </w:tr>
    </w:tbl>
    <w:p>
      <w:pPr>
        <w:keepNext w:val="0"/>
        <w:keepLines w:val="0"/>
        <w:widowControl/>
        <w:suppressLineNumbers w:val="0"/>
        <w:spacing w:before="0" w:beforeAutospacing="0" w:after="0" w:afterAutospacing="0" w:line="300" w:lineRule="atLeast"/>
        <w:ind w:left="142" w:leftChars="67" w:right="-1" w:hanging="1"/>
        <w:jc w:val="left"/>
        <w:rPr>
          <w:color w:val="333333"/>
          <w:lang w:val="en-US"/>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w:panose1 w:val="020F0502020204030204"/>
    <w:charset w:val="00"/>
    <w:family w:val="decorative"/>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Lucida Sans">
    <w:panose1 w:val="020B0602030504020204"/>
    <w:charset w:val="00"/>
    <w:family w:val="decorative"/>
    <w:pitch w:val="default"/>
    <w:sig w:usb0="00000000" w:usb1="00000000" w:usb2="00000000" w:usb3="00000000" w:csb0="00000000" w:csb1="00000000"/>
  </w:font>
  <w:font w:name="Palatino Linotype">
    <w:panose1 w:val="02040502050505030304"/>
    <w:charset w:val="00"/>
    <w:family w:val="auto"/>
    <w:pitch w:val="default"/>
    <w:sig w:usb0="E0000387" w:usb1="40000013" w:usb2="00000000" w:usb3="00000000" w:csb0="2000019F" w:csb1="00000000"/>
  </w:font>
  <w:font w:name="Arial">
    <w:panose1 w:val="020B0604020202020204"/>
    <w:charset w:val="00"/>
    <w:family w:val="auto"/>
    <w:pitch w:val="default"/>
    <w:sig w:usb0="00007A87" w:usb1="80000000" w:usb2="00000008" w:usb3="00000000" w:csb0="400001FF" w:csb1="FFFF0000"/>
  </w:font>
  <w:font w:name="ˎ̥">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081C4F"/>
    <w:rsid w:val="50081C4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3">
    <w:name w:val="FollowedHyperlink"/>
    <w:basedOn w:val="2"/>
    <w:uiPriority w:val="0"/>
    <w:rPr>
      <w:color w:val="800080"/>
      <w:u w:val="none"/>
    </w:rPr>
  </w:style>
  <w:style w:type="character" w:styleId="4">
    <w:name w:val="Hyperlink"/>
    <w:basedOn w:val="2"/>
    <w:uiPriority w:val="0"/>
    <w:rPr>
      <w:color w:val="0000FF"/>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2015-12-01T07:32:00Z</dcterms:created>
  <dc:creator>Administrator</dc:creator>
  <cp:lastModifiedBy>Administrator</cp:lastModifiedBy>
  <dcterms:modified xsi:type="dcterms:W3CDTF">2015-12-01T07:35:49Z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