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210" w:afterAutospacing="0" w:line="21" w:lineRule="atLeast"/>
        <w:ind w:left="0" w:right="0" w:firstLine="0"/>
        <w:jc w:val="center"/>
        <w:rPr>
          <w:rFonts w:ascii="微软雅黑" w:hAnsi="微软雅黑" w:eastAsia="微软雅黑" w:cs="微软雅黑"/>
          <w:i w:val="0"/>
          <w:caps w:val="0"/>
          <w:color w:val="333333"/>
          <w:spacing w:val="8"/>
          <w:sz w:val="33"/>
          <w:szCs w:val="33"/>
        </w:rPr>
      </w:pPr>
      <w:bookmarkStart w:id="0" w:name="_GoBack"/>
      <w:r>
        <w:rPr>
          <w:rFonts w:hint="eastAsia" w:ascii="微软雅黑" w:hAnsi="微软雅黑" w:eastAsia="微软雅黑" w:cs="微软雅黑"/>
          <w:i w:val="0"/>
          <w:caps w:val="0"/>
          <w:color w:val="333333"/>
          <w:spacing w:val="8"/>
          <w:sz w:val="33"/>
          <w:szCs w:val="33"/>
          <w:bdr w:val="none" w:color="auto" w:sz="0" w:space="0"/>
          <w:shd w:val="clear" w:fill="FFFFFF"/>
        </w:rPr>
        <w:t>河南省校外培训机构设置标准(试行)</w:t>
      </w:r>
    </w:p>
    <w:bookmarkEnd w:id="0"/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both"/>
        <w:rPr>
          <w:rFonts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各省辖市、省直管县(市)教育局、民政局、人力资源和社会保障局、工商行政管理局(市场监管)：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为规范校外培训机构有序发展，贯彻落实《国务院办公厅关于规范校外培训机构发展的意见》(国办发〔2018〕80号)精神和要求，根据《中华人民共和国民办教育促进法》等法律法规，省教育厅、省民政厅、省人力资源和社会保障厅、省工商行政管理局共同制订了《河南省校外培训机构设置标准(试行)》。现予以印发，请各地结合实际，认真贯彻执行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righ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河南省教育厅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righ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河南省民政厅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righ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河南省人力资源和社会保障厅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righ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河南省工商行政管理局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righ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2018年11月6日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drawing>
          <wp:inline distT="0" distB="0" distL="114300" distR="114300">
            <wp:extent cx="304800" cy="304800"/>
            <wp:effectExtent l="0" t="0" r="0" b="0"/>
            <wp:docPr id="1" name="图片 1" descr="两端红星分割线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两端红星分割线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048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7"/>
          <w:szCs w:val="27"/>
          <w:bdr w:val="none" w:color="auto" w:sz="0" w:space="0"/>
          <w:shd w:val="clear" w:fill="FFFFFF"/>
        </w:rPr>
        <w:t>河南省校外培训机构设置标准(试行)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第一章  总则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000000"/>
          <w:spacing w:val="8"/>
          <w:sz w:val="24"/>
          <w:szCs w:val="24"/>
          <w:bdr w:val="none" w:color="auto" w:sz="0" w:space="0"/>
          <w:shd w:val="clear" w:fill="FFFFFF"/>
        </w:rPr>
        <w:t>第一条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为贯彻落实《国务院办公厅关于规范校外培训机构发展的意见》(国办发〔2018〕80号)，明确校外培训机构的设置条件及办学要求，规范校外培训机构有序发展，根据《中华人民共和国民办教育促进法》等法律法规，结合我省实际，制定本标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本标准所称校外培训机构，是指在本省行政区域内，取得教育行政部门许可，在民政部门或工商(市场监管)部门登记，由国家机构以外的法人或者自然人，利用非国家财政性经费，面向中小学生实施的与学校文化教育课程相关或者与升学、考试相关的非学历教育培训机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开展3周岁以下婴幼儿照护和儿童早期托育服务的机构，仅通过互联网等非线下方式提供培训服务的机构，实施语言能力、艺术、体育、科技、研学等培训的机构，设置标准另行制定。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校外培训机构应遵守国家法律法规，全面贯彻党的教育方针，坚持立德树人，发展素质教育，坚持和加强党的领导，坚持社会主义办学方向，坚持教育的公益属性。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第四条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设立校外培训机构，应当符合下列基本条件：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(一)有符合相关要求的举办者；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(二)有合法的名称、规范的章程和必要的组织机构；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(三)有完善的内部管理制度；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(四)有符合规定任职条件的法定代表人、校长(行政负责人)、财会及主要管理人员；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(五)有与培训类别、层次及规模相适应的教师队伍；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(六)有与所开办培训项目及规模相匹配的办学资金、办学场所及设施设备；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(七)有与所开办培训项目相对应的课程(培训)计划及教材；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(八)法律法规及规章规定的其他条件。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第二章</w:t>
      </w:r>
      <w:r>
        <w:rPr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举办者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第五条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校外培训机构的举办者，应当是国家机构以外的法人或自然人。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(一)法人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1.有中华人民共和国法人资格；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2.信用状况良好，未被列入企业经营异常名录或严重违法失信企业名单，无不良记录；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3.法定代表人有中华人民共和国国籍，在中国境内定居，信用状况良好，无犯罪记录，有政治权利和完全民事行为能力。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(二)自然人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1.有中华人民共和国国籍，在中国境内定居；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2.信用状况良好，无犯罪记录，有政治权利和完全民事行为能力。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第六条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中小学校不得举办或参与举办校外培训机构。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第三章</w:t>
      </w:r>
      <w:r>
        <w:rPr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名称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第七条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只能使用一个名称。其名称应当符合法律法规的规定，不得有损于国家利益、社会公共利益及其他组织和公民的合法权益，不得违背社会道德风尚，不得冠以“中国”“中华”“全国”“国际”“世界”“全球”“河南省”“全省”等字样。同时使用外文名称的，其外文名称应当与中文名称语义一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第八条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申请设立非营利性校外培训机构的，名称应当符合《民办非企业单位登记管理暂行条例》《民办非企业单位名称管理暂行规定》等规定。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申请设立营利性校外培训机构的，名称应当符合《公司登记管理条例》《企业名称登记管理规定》《工商总局 教育部关于营利性民办学校名称登记管理有关工作的通知》等规定。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第九条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校外培训机构名称的行政区划、行业表述应当与机构办学所在地、类别等相符合，名称中的组织形式必须明确易懂。非营利性校外培训机构一般表述为：XX培训(课外培训、课外教育、辅导等)学校或中心；营利性校外培训机构一般表述为：XX培训(课外培训、课外教育、辅导等)学校(或中心)有限公司或者股份有限公司，且不得使用简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校外培训机构应本着简洁、直观、准确、规范的原则，根据学生所处年级和参训学科，命名学科类培训班名称。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第四章</w:t>
      </w:r>
      <w:r>
        <w:rPr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章程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第十一条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校外培训机构应当依法制定章程，举办者根据章程规定的权限和程序，参与办学和管理活动。章程应当载明下列事项：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(一)名称、住所、举办者；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(二)举办者的权利义务，以及举办者变更的规则；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(三)机构性质、办学宗旨、发展定位、层次类型、规模、形式等；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(四)开办资金或注册资本以及资产的来源、性质等；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(五)董事会、理事会和监事会的产生办法、人员构成、任期、议事规则等；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(六)党组织负责人进入董事会、理事会和监事会的程序；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(七)法定代表人产生及罢免程序；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(八)内设机构的组成及职责；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(九)教职工、学员的权利义务和权益保障机制；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(十)自行终止的事由，剩余资产处置的办法与程序；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(十一)章程修改的程序；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(十二)法律法规及规章规定的其他事项。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第十二条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当制定并完善教学管理制度、安全管理制度、员工管理制度、学生管理制度、档案管理制度、资产和财务管理制度、收费和退费管理制度、设施设备管理制度、教师培训和考核制度、课程备案和公示制度等规章制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第五章</w:t>
      </w:r>
      <w:r>
        <w:rPr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组织机构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第十三条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校外培训机构必须坚持和加强党的领导，做到党的建设同步谋划、党的组织同步设置、党的工作同步开展，确保正确的办学方向。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第十四条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当按照相关法律法规及规章规定，设立董事会、理事会或其他形式的决策机构，决策机构成员由举办者或其代表、校长(行政负责人)、党组织负责人和教职工代表等组成。决策机构负责人应当品行良好，具有政治权利和完全民事行为能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第十五条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校外培训机构应当按照相关法律法规和规章规定，建立以校长(行政负责人)为主要负责人的执行机构，校长(行政负责人)依法行使教育教学和行政管理权。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第十六条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长(行政负责人)应当熟悉相关法律法规及教育教学规律，有中华人民共和国国籍，在中国境内定居，有政治权利和完全民事行为能力，信用状况良好，身体健康，有大学专科及以上学历，5年以上相关教育管理经验和良好业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第十七条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校外培训机构的法定代表人，由董事长、理事长或校长(行政负责人)担任。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第十八条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校外培训机构应当依法建立相应的监督机制。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第十九条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校外培训机构应当配备专职教学管理人员，教学管理人员应具有大学专科及以上学历。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校外培训机构应当按照相关规定，配备具有从事会计工作所需要的专业能力的会计人员，会计和出纳不得兼任。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第二十一条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校外培训机构应当按照相关规定，配备安全管理人员，履行安全监管职责，落实安全防范措施。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第六章</w:t>
      </w:r>
      <w:r>
        <w:rPr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师资队伍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第二十二条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当根据所开设培训项目及规模，配备结构合理、数量充足、相对稳定的师资队伍，其中专职教师不得少于教师总数的1/3，单个教学场所或教学点的专职教师不得少于3人。校外培训机构不得聘用中小学在职教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第二十三条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所聘从事培训工作的人员必须遵守宪法和法律，热爱教育事业，具有良好的思想品德和相应的培训能力。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第二十四条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从事语文、数学、英语及物理、化学、生物等学科知识培训的教师应具有相应的教师资格。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第二十五条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校外培训机构应当与所聘人员依法签订聘用合同、劳动合同或劳务协议。聘用外籍人员须符合国家有关规定。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第七章</w:t>
      </w:r>
      <w:r>
        <w:rPr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办学投入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第二十六条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举办者应当按照相关法律法规的规定，履行相应的出资义务。联合举办者出资计入培训机构注册资本或开办资金的，应当明确各自计入注册资本或开办资金的出资数额、方式及相应比例。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第二十七条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举办者的办学投入应当履行法定出资验资程序。其中，举办者以货币资产出资的，应当提供具有资质的验资机构出具的验资报告；举办者以自有土地使用权以及房屋产权、教育教学设施设备以及图书资料等财物、知识产权等无形资产作为办学出资的，应由具有资质的资产评估机构评估并出具评估报告，且符合注册登记部门规定的出资比例要求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举办者应当将货币、土地使用权、房屋及知识产权等所有办学投入，及时过户到校外培训机构名下，依法落实法人财产权。法律法规对出资另有规定的，从其规定。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第八章  办学场所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第二十八条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校外培训机构必须有符合安全条件的，与培训内容和规模相适应的固定场所。居民住宅、地下室、工业用房、临时搭建和加盖的房屋等不得作为校外培训机构的办学场所。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第二十九条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举办者以自有场所举办的，应提供培训场所的产权证明材料；租用场地的，应提供场地的产权证明材料，以及与产权人或由产权人授权人签订的具有法律效力的《租赁合同(协议)》，租赁期一般不少于二年。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教学用房建筑面积不少于培训场所总建筑面积的2/3，且同一培训时段内生均面积不低于3平方米，确保不拥挤、易疏散；必须符合国家关于消防、环保、卫生、食品经营等管理规定要求。通过为参训对象购买人身安全保险等必要方式，防范和化解安全事故风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第九章</w:t>
      </w:r>
      <w:r>
        <w:rPr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培训活动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第三十一条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校外培训机构开展语文、数学、英语及物理、化学、生物等学科知识培训的内容、班次、招生对象、进度、上课时间等要向所在地县级教育部门备案并向社会公布。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第三十二条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培训内容不得超出相应的国家课程标准，培训班次必须与招生对象所处年级相匹配，培训进度不得超过所在县(市、区)中小学同期进度。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第三十三条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校外培训机构培训时间不得和当地中小学校教学时间相冲突，培训结束时间不得晚于20∶30，不得留作业。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第三十四条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严禁组织举办中小学生学科类等级考试、竞赛及进行排名，严禁将培训结果与中小学校招生入学相挂钩。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第三十五条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应当选用与其培训项目及培训计划相匹配的教材，所有教材均需报审批部门备案，且举办者需对所使用教材的合法性、合规性以及自愿接受主管部门检查等作出书面承诺。涉及引进教材的，应当严格遵守国家出版物进口管理的有关规定，不得违反宪法法律、危害国家安全、破坏民族团结、宣扬邪教迷信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第三十六条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校外培训机构在同一县域设立分支机构或培训点的，均须经过批准；跨县域设立分支机构或培训点的，需到分支机构或培训点所在地县级教育部门审批。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0"/>
        <w:jc w:val="center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第十章</w:t>
      </w:r>
      <w:r>
        <w:rPr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Style w:val="5"/>
          <w:rFonts w:hint="eastAsia" w:ascii="宋体" w:hAnsi="宋体" w:eastAsia="宋体" w:cs="宋体"/>
          <w:i w:val="0"/>
          <w:caps w:val="0"/>
          <w:color w:val="FF0000"/>
          <w:spacing w:val="8"/>
          <w:sz w:val="24"/>
          <w:szCs w:val="24"/>
          <w:bdr w:val="none" w:color="auto" w:sz="0" w:space="0"/>
          <w:shd w:val="clear" w:fill="FFFFFF"/>
        </w:rPr>
        <w:t> 附则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第三十七条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本标准自公布之日起实施。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8"/>
          <w:sz w:val="25"/>
          <w:szCs w:val="25"/>
        </w:rPr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第三十八条</w:t>
      </w:r>
      <w:r>
        <w:rPr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各省辖市、省直管县(市)教育行政部门可会同当地有关部门，根据实际情况制定当地的具体设置标准，并报省教育厅及有关部门备案。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65" w:lineRule="atLeast"/>
        <w:ind w:left="0" w:right="0" w:firstLine="480"/>
        <w:jc w:val="both"/>
      </w:pPr>
      <w:r>
        <w:rPr>
          <w:rStyle w:val="5"/>
          <w:rFonts w:hint="eastAsia" w:ascii="宋体" w:hAnsi="宋体" w:eastAsia="宋体" w:cs="宋体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第三十九条</w:t>
      </w:r>
      <w:r>
        <w:rPr>
          <w:rFonts w:hint="eastAsia" w:ascii="宋体" w:hAnsi="宋体" w:eastAsia="宋体" w:cs="宋体"/>
          <w:b w:val="0"/>
          <w:i w:val="0"/>
          <w:caps w:val="0"/>
          <w:color w:val="333333"/>
          <w:spacing w:val="8"/>
          <w:sz w:val="24"/>
          <w:szCs w:val="24"/>
          <w:bdr w:val="none" w:color="auto" w:sz="0" w:space="0"/>
          <w:shd w:val="clear" w:fill="FFFFFF"/>
        </w:rPr>
        <w:t>  本标准由省教育厅、省民政厅、省人力资源和社会保障厅、省工商局负责解释。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attachedTemplate r:id="rId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725E2B"/>
    <w:rsid w:val="6D535020"/>
    <w:rsid w:val="6F72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Strong"/>
    <w:basedOn w:val="4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../NUL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uby_1.0.0.12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4</TotalTime>
  <ScaleCrop>false</ScaleCrop>
  <LinksUpToDate>false</LinksUpToDate>
  <CharactersWithSpaces>0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2018-11-19T02:19:00Z</dcterms:created>
  <dc:creator>口阿  虫甬-博德精工磁砖</dc:creator>
  <cp:lastModifiedBy>口阿  虫甬-博德精工磁砖</cp:lastModifiedBy>
  <cp:lastPrinted>2018-11-19T02:20:06Z</cp:lastPrinted>
  <dcterms:modified xsi:type="dcterms:W3CDTF">2018-11-19T02:23:41Z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