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平顶山</w:t>
      </w:r>
      <w:r>
        <w:rPr>
          <w:rFonts w:hint="eastAsia" w:ascii="方正小标宋_GBK" w:eastAsia="方正小标宋_GBK"/>
          <w:sz w:val="44"/>
          <w:szCs w:val="44"/>
          <w:lang w:eastAsia="zh-CN"/>
        </w:rPr>
        <w:t>新华区民政</w:t>
      </w:r>
      <w:r>
        <w:rPr>
          <w:rFonts w:hint="eastAsia" w:ascii="方正小标宋_GBK" w:eastAsia="方正小标宋_GBK"/>
          <w:sz w:val="44"/>
          <w:szCs w:val="44"/>
        </w:rPr>
        <w:t>局行政执法岗位职责清单</w:t>
      </w:r>
    </w:p>
    <w:tbl>
      <w:tblPr>
        <w:tblStyle w:val="6"/>
        <w:tblpPr w:leftFromText="180" w:rightFromText="180" w:vertAnchor="text" w:tblpX="331" w:tblpY="262"/>
        <w:tblOverlap w:val="never"/>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607"/>
        <w:gridCol w:w="1035"/>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58" w:type="dxa"/>
            <w:tcBorders>
              <w:bottom w:val="single" w:color="auto" w:sz="4" w:space="0"/>
            </w:tcBorders>
            <w:noWrap w:val="0"/>
            <w:vAlign w:val="top"/>
          </w:tcPr>
          <w:p>
            <w:pPr>
              <w:spacing w:line="360" w:lineRule="exact"/>
              <w:jc w:val="center"/>
              <w:rPr>
                <w:rFonts w:hint="eastAsia" w:ascii="仿宋_GB2312" w:eastAsia="仿宋_GB2312"/>
                <w:b/>
                <w:sz w:val="24"/>
              </w:rPr>
            </w:pPr>
            <w:r>
              <w:rPr>
                <w:rFonts w:hint="eastAsia" w:ascii="仿宋_GB2312" w:eastAsia="仿宋_GB2312"/>
                <w:b/>
                <w:sz w:val="24"/>
              </w:rPr>
              <w:t>科室各称</w:t>
            </w:r>
          </w:p>
        </w:tc>
        <w:tc>
          <w:tcPr>
            <w:tcW w:w="5607" w:type="dxa"/>
            <w:tcBorders>
              <w:bottom w:val="single" w:color="auto" w:sz="4" w:space="0"/>
            </w:tcBorders>
            <w:noWrap w:val="0"/>
            <w:vAlign w:val="top"/>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1035" w:type="dxa"/>
            <w:noWrap w:val="0"/>
            <w:vAlign w:val="top"/>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5958" w:type="dxa"/>
            <w:noWrap w:val="0"/>
            <w:vAlign w:val="top"/>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158" w:type="dxa"/>
            <w:vMerge w:val="restart"/>
            <w:noWrap w:val="0"/>
            <w:vAlign w:val="center"/>
          </w:tcPr>
          <w:p>
            <w:pPr>
              <w:spacing w:line="320" w:lineRule="exact"/>
              <w:jc w:val="center"/>
              <w:rPr>
                <w:rFonts w:hint="eastAsia" w:ascii="仿宋_GB2312" w:eastAsia="仿宋_GB2312"/>
                <w:sz w:val="24"/>
                <w:lang w:val="en-US" w:eastAsia="zh-CN"/>
              </w:rPr>
            </w:pPr>
            <w:r>
              <w:rPr>
                <w:rFonts w:hint="eastAsia" w:ascii="仿宋_GB2312" w:eastAsia="仿宋_GB2312"/>
                <w:sz w:val="24"/>
                <w:lang w:val="en-US" w:eastAsia="zh-CN"/>
              </w:rPr>
              <w:t>低 保 中 心</w:t>
            </w:r>
          </w:p>
        </w:tc>
        <w:tc>
          <w:tcPr>
            <w:tcW w:w="5607" w:type="dxa"/>
            <w:vMerge w:val="restart"/>
            <w:noWrap w:val="0"/>
            <w:vAlign w:val="top"/>
          </w:tcPr>
          <w:p>
            <w:pPr>
              <w:numPr>
                <w:numId w:val="0"/>
              </w:numPr>
              <w:spacing w:line="280" w:lineRule="exact"/>
              <w:ind w:right="-317" w:rightChars="-1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对无生活来源、无劳动能力又无法定赡养人、扶养人或者抚养人的城市居民，批准其按照当地城市居民最低生活保障标准全额享受（二）对尚有一定收入的城</w:t>
            </w:r>
            <w:r>
              <w:rPr>
                <w:rFonts w:hint="eastAsia" w:asciiTheme="minorEastAsia" w:hAnsiTheme="minorEastAsia" w:eastAsiaTheme="minorEastAsia" w:cstheme="minorEastAsia"/>
                <w:sz w:val="24"/>
                <w:szCs w:val="24"/>
                <w:lang w:eastAsia="zh-CN"/>
              </w:rPr>
              <w:t>（乡）</w:t>
            </w:r>
            <w:r>
              <w:rPr>
                <w:rFonts w:hint="eastAsia" w:asciiTheme="minorEastAsia" w:hAnsiTheme="minorEastAsia" w:eastAsiaTheme="minorEastAsia" w:cstheme="minorEastAsia"/>
                <w:sz w:val="24"/>
                <w:szCs w:val="24"/>
              </w:rPr>
              <w:t>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30日内办结审批手续。城市居民最低生活保障待遇由管理审批机关以货币形式按月发放；必要时，也可以给付实物。</w:t>
            </w:r>
          </w:p>
          <w:p>
            <w:pPr>
              <w:numPr>
                <w:numId w:val="0"/>
              </w:numPr>
              <w:spacing w:line="280" w:lineRule="exact"/>
              <w:ind w:right="-317" w:rightChars="-151"/>
              <w:rPr>
                <w:rFonts w:hint="eastAsia" w:ascii="仿宋_GB2312" w:hAnsi="宋体" w:eastAsia="仿宋_GB2312"/>
                <w:sz w:val="24"/>
              </w:rPr>
            </w:pPr>
            <w:r>
              <w:rPr>
                <w:rFonts w:hint="eastAsia" w:asciiTheme="minorEastAsia" w:hAnsiTheme="minorEastAsia" w:eastAsiaTheme="minorEastAsia" w:cstheme="minorEastAsia"/>
                <w:i w:val="0"/>
                <w:caps w:val="0"/>
                <w:color w:val="333333"/>
                <w:spacing w:val="0"/>
                <w:sz w:val="24"/>
                <w:szCs w:val="24"/>
              </w:rPr>
              <w:t>主要职责是负责制定本级救助申请家庭经济状况核对工作政策；建设和管理居民家庭经济状况核对信息平台，实现救助申请家庭户籍、收入、财产等相关信息统筹；对救助申请家庭经济状况核对工作进行业务指导、监督检查和综合服务；承担受理委托、实话核对、出具报告等工作</w:t>
            </w:r>
          </w:p>
        </w:tc>
        <w:tc>
          <w:tcPr>
            <w:tcW w:w="1035" w:type="dxa"/>
            <w:vMerge w:val="restart"/>
            <w:noWrap w:val="0"/>
            <w:vAlign w:val="center"/>
          </w:tcPr>
          <w:p>
            <w:pPr>
              <w:spacing w:line="320" w:lineRule="exact"/>
              <w:jc w:val="center"/>
              <w:rPr>
                <w:rFonts w:hint="eastAsia" w:ascii="仿宋_GB2312" w:eastAsia="仿宋_GB2312"/>
                <w:sz w:val="24"/>
                <w:lang w:eastAsia="zh-CN"/>
              </w:rPr>
            </w:pPr>
            <w:r>
              <w:rPr>
                <w:rFonts w:hint="eastAsia" w:ascii="仿宋_GB2312" w:eastAsia="仿宋_GB2312"/>
                <w:sz w:val="24"/>
              </w:rPr>
              <w:t>行</w:t>
            </w:r>
            <w:r>
              <w:rPr>
                <w:rFonts w:hint="eastAsia" w:ascii="仿宋_GB2312" w:eastAsia="仿宋_GB2312"/>
                <w:sz w:val="24"/>
                <w:lang w:val="en-US" w:eastAsia="zh-CN"/>
              </w:rPr>
              <w:t xml:space="preserve"> </w:t>
            </w:r>
            <w:r>
              <w:rPr>
                <w:rFonts w:hint="eastAsia" w:ascii="仿宋_GB2312" w:eastAsia="仿宋_GB2312"/>
                <w:sz w:val="24"/>
              </w:rPr>
              <w:t>政</w:t>
            </w:r>
            <w:r>
              <w:rPr>
                <w:rFonts w:hint="eastAsia" w:ascii="仿宋_GB2312" w:eastAsia="仿宋_GB2312"/>
                <w:sz w:val="24"/>
                <w:lang w:val="en-US" w:eastAsia="zh-CN"/>
              </w:rPr>
              <w:t xml:space="preserve">  </w:t>
            </w:r>
            <w:r>
              <w:rPr>
                <w:rFonts w:hint="eastAsia" w:ascii="仿宋_GB2312" w:eastAsia="仿宋_GB2312"/>
                <w:sz w:val="24"/>
                <w:lang w:eastAsia="zh-CN"/>
              </w:rPr>
              <w:t>给</w:t>
            </w:r>
            <w:r>
              <w:rPr>
                <w:rFonts w:hint="eastAsia" w:ascii="仿宋_GB2312" w:eastAsia="仿宋_GB2312"/>
                <w:sz w:val="24"/>
                <w:lang w:val="en-US" w:eastAsia="zh-CN"/>
              </w:rPr>
              <w:t xml:space="preserve"> </w:t>
            </w:r>
            <w:r>
              <w:rPr>
                <w:rFonts w:hint="eastAsia" w:ascii="仿宋_GB2312" w:eastAsia="仿宋_GB2312"/>
                <w:sz w:val="24"/>
                <w:lang w:eastAsia="zh-CN"/>
              </w:rPr>
              <w:t>付</w:t>
            </w:r>
          </w:p>
        </w:tc>
        <w:tc>
          <w:tcPr>
            <w:tcW w:w="5958"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1158" w:type="dxa"/>
            <w:vMerge w:val="continue"/>
            <w:tcBorders/>
            <w:noWrap w:val="0"/>
            <w:vAlign w:val="top"/>
          </w:tcPr>
          <w:p>
            <w:pPr>
              <w:spacing w:line="320" w:lineRule="exact"/>
              <w:jc w:val="center"/>
              <w:rPr>
                <w:rFonts w:hint="eastAsia" w:ascii="仿宋_GB2312" w:eastAsia="仿宋_GB2312"/>
                <w:sz w:val="24"/>
              </w:rPr>
            </w:pPr>
          </w:p>
        </w:tc>
        <w:tc>
          <w:tcPr>
            <w:tcW w:w="5607" w:type="dxa"/>
            <w:vMerge w:val="continue"/>
            <w:tcBorders/>
            <w:noWrap w:val="0"/>
            <w:vAlign w:val="top"/>
          </w:tcPr>
          <w:p>
            <w:pPr>
              <w:spacing w:line="320" w:lineRule="exact"/>
              <w:jc w:val="center"/>
              <w:rPr>
                <w:rFonts w:hint="eastAsia" w:ascii="仿宋_GB2312" w:eastAsia="仿宋_GB2312"/>
                <w:sz w:val="24"/>
              </w:rPr>
            </w:pPr>
          </w:p>
        </w:tc>
        <w:tc>
          <w:tcPr>
            <w:tcW w:w="1035" w:type="dxa"/>
            <w:vMerge w:val="continue"/>
            <w:tcBorders/>
            <w:noWrap w:val="0"/>
            <w:vAlign w:val="top"/>
          </w:tcPr>
          <w:p>
            <w:pPr>
              <w:spacing w:line="320" w:lineRule="exact"/>
              <w:jc w:val="center"/>
              <w:rPr>
                <w:rFonts w:hint="eastAsia" w:ascii="仿宋_GB2312" w:eastAsia="仿宋_GB2312"/>
                <w:sz w:val="24"/>
              </w:rPr>
            </w:pPr>
          </w:p>
        </w:tc>
        <w:tc>
          <w:tcPr>
            <w:tcW w:w="5958"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158" w:type="dxa"/>
            <w:vMerge w:val="continue"/>
            <w:tcBorders/>
            <w:noWrap w:val="0"/>
            <w:vAlign w:val="top"/>
          </w:tcPr>
          <w:p>
            <w:pPr>
              <w:spacing w:line="320" w:lineRule="exact"/>
              <w:jc w:val="center"/>
              <w:rPr>
                <w:rFonts w:hint="eastAsia" w:ascii="仿宋_GB2312" w:eastAsia="仿宋_GB2312"/>
                <w:sz w:val="24"/>
              </w:rPr>
            </w:pPr>
          </w:p>
        </w:tc>
        <w:tc>
          <w:tcPr>
            <w:tcW w:w="5607" w:type="dxa"/>
            <w:vMerge w:val="continue"/>
            <w:tcBorders/>
            <w:noWrap w:val="0"/>
            <w:vAlign w:val="top"/>
          </w:tcPr>
          <w:p>
            <w:pPr>
              <w:spacing w:line="320" w:lineRule="exact"/>
              <w:jc w:val="center"/>
              <w:rPr>
                <w:rFonts w:hint="eastAsia" w:ascii="仿宋_GB2312" w:eastAsia="仿宋_GB2312"/>
                <w:sz w:val="24"/>
              </w:rPr>
            </w:pPr>
          </w:p>
        </w:tc>
        <w:tc>
          <w:tcPr>
            <w:tcW w:w="1035" w:type="dxa"/>
            <w:vMerge w:val="continue"/>
            <w:tcBorders/>
            <w:noWrap w:val="0"/>
            <w:vAlign w:val="top"/>
          </w:tcPr>
          <w:p>
            <w:pPr>
              <w:spacing w:line="320" w:lineRule="exact"/>
              <w:jc w:val="center"/>
              <w:rPr>
                <w:rFonts w:hint="eastAsia" w:ascii="仿宋_GB2312" w:eastAsia="仿宋_GB2312"/>
                <w:sz w:val="24"/>
              </w:rPr>
            </w:pPr>
          </w:p>
        </w:tc>
        <w:tc>
          <w:tcPr>
            <w:tcW w:w="5958"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158" w:type="dxa"/>
            <w:vMerge w:val="continue"/>
            <w:tcBorders/>
            <w:noWrap w:val="0"/>
            <w:vAlign w:val="top"/>
          </w:tcPr>
          <w:p>
            <w:pPr>
              <w:spacing w:line="320" w:lineRule="exact"/>
              <w:jc w:val="center"/>
              <w:rPr>
                <w:rFonts w:hint="eastAsia" w:ascii="仿宋_GB2312" w:eastAsia="仿宋_GB2312"/>
                <w:sz w:val="24"/>
              </w:rPr>
            </w:pPr>
          </w:p>
        </w:tc>
        <w:tc>
          <w:tcPr>
            <w:tcW w:w="5607" w:type="dxa"/>
            <w:vMerge w:val="continue"/>
            <w:tcBorders/>
            <w:noWrap w:val="0"/>
            <w:vAlign w:val="top"/>
          </w:tcPr>
          <w:p>
            <w:pPr>
              <w:spacing w:line="320" w:lineRule="exact"/>
              <w:jc w:val="center"/>
              <w:rPr>
                <w:rFonts w:hint="eastAsia" w:ascii="仿宋_GB2312" w:eastAsia="仿宋_GB2312"/>
                <w:sz w:val="24"/>
              </w:rPr>
            </w:pPr>
          </w:p>
        </w:tc>
        <w:tc>
          <w:tcPr>
            <w:tcW w:w="1035" w:type="dxa"/>
            <w:vMerge w:val="continue"/>
            <w:tcBorders/>
            <w:noWrap w:val="0"/>
            <w:vAlign w:val="top"/>
          </w:tcPr>
          <w:p>
            <w:pPr>
              <w:spacing w:line="320" w:lineRule="exact"/>
              <w:jc w:val="center"/>
              <w:rPr>
                <w:rFonts w:hint="eastAsia" w:ascii="仿宋_GB2312" w:eastAsia="仿宋_GB2312"/>
                <w:sz w:val="24"/>
              </w:rPr>
            </w:pPr>
          </w:p>
        </w:tc>
        <w:tc>
          <w:tcPr>
            <w:tcW w:w="5958"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158" w:type="dxa"/>
            <w:vMerge w:val="continue"/>
            <w:tcBorders/>
            <w:noWrap w:val="0"/>
            <w:vAlign w:val="top"/>
          </w:tcPr>
          <w:p>
            <w:pPr>
              <w:spacing w:line="320" w:lineRule="exact"/>
              <w:jc w:val="center"/>
              <w:rPr>
                <w:rFonts w:hint="eastAsia" w:ascii="仿宋_GB2312" w:eastAsia="仿宋_GB2312"/>
                <w:sz w:val="24"/>
              </w:rPr>
            </w:pPr>
          </w:p>
        </w:tc>
        <w:tc>
          <w:tcPr>
            <w:tcW w:w="5607" w:type="dxa"/>
            <w:vMerge w:val="continue"/>
            <w:tcBorders/>
            <w:noWrap w:val="0"/>
            <w:vAlign w:val="top"/>
          </w:tcPr>
          <w:p>
            <w:pPr>
              <w:spacing w:line="320" w:lineRule="exact"/>
              <w:jc w:val="center"/>
              <w:rPr>
                <w:rFonts w:hint="eastAsia" w:ascii="仿宋_GB2312" w:eastAsia="仿宋_GB2312"/>
                <w:sz w:val="24"/>
              </w:rPr>
            </w:pPr>
          </w:p>
        </w:tc>
        <w:tc>
          <w:tcPr>
            <w:tcW w:w="1035" w:type="dxa"/>
            <w:vMerge w:val="continue"/>
            <w:tcBorders/>
            <w:noWrap w:val="0"/>
            <w:vAlign w:val="top"/>
          </w:tcPr>
          <w:p>
            <w:pPr>
              <w:spacing w:line="320" w:lineRule="exact"/>
              <w:jc w:val="center"/>
              <w:rPr>
                <w:rFonts w:hint="eastAsia" w:ascii="仿宋_GB2312" w:eastAsia="仿宋_GB2312"/>
                <w:sz w:val="24"/>
              </w:rPr>
            </w:pPr>
          </w:p>
        </w:tc>
        <w:tc>
          <w:tcPr>
            <w:tcW w:w="5958"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5.事后监管岗：指导镇、街道民政部门做好工作。加强对房地产开发企业使用资质情况进行监督管理。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158" w:type="dxa"/>
            <w:vMerge w:val="continue"/>
            <w:tcBorders/>
            <w:noWrap w:val="0"/>
            <w:vAlign w:val="top"/>
          </w:tcPr>
          <w:p>
            <w:pPr>
              <w:spacing w:line="320" w:lineRule="exact"/>
              <w:jc w:val="center"/>
              <w:rPr>
                <w:rFonts w:hint="eastAsia" w:ascii="仿宋_GB2312" w:eastAsia="仿宋_GB2312"/>
                <w:sz w:val="24"/>
              </w:rPr>
            </w:pPr>
          </w:p>
        </w:tc>
        <w:tc>
          <w:tcPr>
            <w:tcW w:w="5607" w:type="dxa"/>
            <w:vMerge w:val="continue"/>
            <w:tcBorders/>
            <w:noWrap w:val="0"/>
            <w:vAlign w:val="top"/>
          </w:tcPr>
          <w:p>
            <w:pPr>
              <w:spacing w:line="320" w:lineRule="exact"/>
              <w:jc w:val="center"/>
              <w:rPr>
                <w:rFonts w:hint="eastAsia" w:ascii="仿宋_GB2312" w:eastAsia="仿宋_GB2312"/>
                <w:sz w:val="24"/>
              </w:rPr>
            </w:pPr>
          </w:p>
        </w:tc>
        <w:tc>
          <w:tcPr>
            <w:tcW w:w="1035" w:type="dxa"/>
            <w:vMerge w:val="continue"/>
            <w:tcBorders/>
            <w:noWrap w:val="0"/>
            <w:vAlign w:val="top"/>
          </w:tcPr>
          <w:p>
            <w:pPr>
              <w:spacing w:line="320" w:lineRule="exact"/>
              <w:jc w:val="center"/>
              <w:rPr>
                <w:rFonts w:hint="eastAsia" w:ascii="仿宋_GB2312" w:eastAsia="仿宋_GB2312"/>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58"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kern w:val="0"/>
                <w:sz w:val="24"/>
                <w:lang w:eastAsia="zh-CN"/>
              </w:rPr>
              <w:t>社救股</w:t>
            </w:r>
          </w:p>
        </w:tc>
        <w:tc>
          <w:tcPr>
            <w:tcW w:w="5607" w:type="dxa"/>
            <w:vMerge w:val="restart"/>
            <w:shd w:val="clear" w:color="auto" w:fill="auto"/>
            <w:noWrap w:val="0"/>
            <w:vAlign w:val="center"/>
          </w:tcPr>
          <w:p>
            <w:pPr>
              <w:rPr>
                <w:rFonts w:hint="eastAsia" w:ascii="仿宋_GB2312" w:hAnsi="宋体" w:eastAsia="仿宋_GB2312" w:cs="宋体"/>
                <w:sz w:val="24"/>
              </w:rPr>
            </w:pPr>
            <w:r>
              <w:rPr>
                <w:rFonts w:hint="eastAsia" w:ascii="仿宋_GB2312" w:hAnsi="宋体" w:eastAsia="仿宋_GB2312" w:cs="宋体"/>
                <w:sz w:val="24"/>
              </w:rPr>
              <w:t>因火灾、交通事故等意外事件，家庭成员突发重大疾病等原因，导致基本生活暂时出现严重困难的家庭；因生活必需支出突然增加超出家庭承受能力，导致基本生活暂时出现严重困难的最低生活保障家庭、个人。其中，符合生活无着的流浪、乞讨人员救助条件的，由县级人民政府按有关规定提供临时食宿、急病救治、协助返回等救助。</w:t>
            </w:r>
          </w:p>
          <w:p>
            <w:pPr>
              <w:rPr>
                <w:rFonts w:hint="eastAsia" w:ascii="仿宋_GB2312" w:hAnsi="宋体" w:eastAsia="仿宋_GB2312" w:cs="宋体"/>
                <w:sz w:val="24"/>
              </w:rPr>
            </w:pPr>
          </w:p>
          <w:p>
            <w:pPr>
              <w:rPr>
                <w:rFonts w:hint="eastAsia" w:ascii="仿宋_GB2312" w:hAnsi="宋体" w:eastAsia="仿宋_GB2312" w:cs="宋体"/>
                <w:sz w:val="24"/>
              </w:rPr>
            </w:pPr>
          </w:p>
          <w:p>
            <w:pPr>
              <w:rPr>
                <w:rFonts w:hint="eastAsia" w:ascii="仿宋_GB2312" w:hAnsi="宋体" w:eastAsia="仿宋_GB2312" w:cs="宋体"/>
                <w:sz w:val="24"/>
              </w:rPr>
            </w:pPr>
          </w:p>
        </w:tc>
        <w:tc>
          <w:tcPr>
            <w:tcW w:w="1035" w:type="dxa"/>
            <w:vMerge w:val="restart"/>
            <w:shd w:val="clear" w:color="auto" w:fill="auto"/>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政</w:t>
            </w:r>
          </w:p>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给</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付</w:t>
            </w: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numPr>
                <w:ilvl w:val="0"/>
                <w:numId w:val="1"/>
              </w:numPr>
              <w:spacing w:line="32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事后监管岗：指导镇、街道民政部门做好工作。加强对房地产开发企业使用资质情况进行监督管理</w:t>
            </w:r>
          </w:p>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p>
          <w:p>
            <w:pPr>
              <w:widowControl/>
              <w:numPr>
                <w:numId w:val="0"/>
              </w:numPr>
              <w:spacing w:line="320" w:lineRule="exact"/>
              <w:jc w:val="left"/>
              <w:textAlignment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tcBorders/>
            <w:noWrap w:val="0"/>
            <w:vAlign w:val="center"/>
          </w:tcPr>
          <w:p>
            <w:pPr>
              <w:widowControl/>
              <w:spacing w:line="360" w:lineRule="exact"/>
              <w:jc w:val="left"/>
              <w:textAlignment w:val="center"/>
              <w:rPr>
                <w:rFonts w:hint="eastAsia" w:ascii="仿宋_GB2312" w:hAnsi="宋体" w:eastAsia="仿宋_GB2312" w:cs="宋体"/>
                <w:kern w:val="0"/>
                <w:sz w:val="24"/>
                <w:lang w:bidi="ar"/>
              </w:rPr>
            </w:pPr>
          </w:p>
        </w:tc>
      </w:tr>
    </w:tbl>
    <w:p/>
    <w:tbl>
      <w:tblPr>
        <w:tblStyle w:val="6"/>
        <w:tblpPr w:leftFromText="180" w:rightFromText="180" w:vertAnchor="text" w:tblpX="331" w:tblpY="262"/>
        <w:tblOverlap w:val="never"/>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607"/>
        <w:gridCol w:w="1035"/>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58"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kern w:val="0"/>
                <w:sz w:val="24"/>
                <w:lang w:eastAsia="zh-CN"/>
              </w:rPr>
              <w:t>基层政权股</w:t>
            </w:r>
          </w:p>
        </w:tc>
        <w:tc>
          <w:tcPr>
            <w:tcW w:w="5607" w:type="dxa"/>
            <w:vMerge w:val="restart"/>
            <w:shd w:val="clear" w:color="auto" w:fill="auto"/>
            <w:noWrap w:val="0"/>
            <w:vAlign w:val="center"/>
          </w:tcPr>
          <w:p>
            <w:pPr>
              <w:rPr>
                <w:rFonts w:hint="eastAsia" w:ascii="仿宋_GB2312" w:hAnsi="宋体" w:eastAsia="仿宋_GB2312" w:cs="宋体"/>
                <w:sz w:val="24"/>
              </w:rPr>
            </w:pPr>
            <w:r>
              <w:rPr>
                <w:rFonts w:ascii="微软雅黑" w:hAnsi="微软雅黑" w:eastAsia="微软雅黑" w:cs="微软雅黑"/>
                <w:i w:val="0"/>
                <w:caps w:val="0"/>
                <w:color w:val="000000"/>
                <w:spacing w:val="0"/>
                <w:sz w:val="32"/>
                <w:szCs w:val="32"/>
                <w:shd w:val="clear" w:fill="FFFFFF"/>
              </w:rPr>
              <w:t>　　</w:t>
            </w:r>
            <w:r>
              <w:rPr>
                <w:rFonts w:hint="eastAsia" w:asciiTheme="minorEastAsia" w:hAnsiTheme="minorEastAsia" w:eastAsiaTheme="minorEastAsia" w:cstheme="minorEastAsia"/>
                <w:i w:val="0"/>
                <w:caps w:val="0"/>
                <w:color w:val="000000"/>
                <w:spacing w:val="0"/>
                <w:sz w:val="24"/>
                <w:szCs w:val="24"/>
                <w:shd w:val="clear" w:fill="FFFFFF"/>
              </w:rPr>
              <w:t>拟订全区城乡基层群众自治建设和社区建设政策；指导城乡社区服务体系建设；提出加强和改进城乡基层政权建设的意见和建议；依法指导村（居）民自治，指导村（居）务公开，推动基层民主政治建设，完成局领导交办的临时工作。名的审核报批，完成局领导交办的临时工作。</w:t>
            </w:r>
          </w:p>
        </w:tc>
        <w:tc>
          <w:tcPr>
            <w:tcW w:w="1035"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其</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他</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权</w:t>
            </w: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val="en-US" w:eastAsia="zh-CN" w:bidi="ar"/>
              </w:rPr>
              <w:t>5.</w:t>
            </w:r>
            <w:r>
              <w:rPr>
                <w:rFonts w:hint="eastAsia" w:ascii="仿宋_GB2312" w:hAnsi="宋体" w:eastAsia="仿宋_GB2312" w:cs="宋体"/>
                <w:color w:val="000000"/>
                <w:kern w:val="0"/>
                <w:sz w:val="24"/>
                <w:lang w:bidi="ar"/>
              </w:rPr>
              <w:t>事后监管岗：指导镇、街道民政部门做好工作。加强对房地产开发企业使用资质情况进行监督管理</w:t>
            </w:r>
          </w:p>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p>
          <w:p>
            <w:pPr>
              <w:widowControl/>
              <w:numPr>
                <w:ilvl w:val="0"/>
                <w:numId w:val="0"/>
              </w:numPr>
              <w:spacing w:line="320" w:lineRule="exact"/>
              <w:jc w:val="left"/>
              <w:textAlignment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60" w:lineRule="exact"/>
              <w:jc w:val="left"/>
              <w:textAlignment w:val="center"/>
              <w:rPr>
                <w:rFonts w:hint="eastAsia" w:ascii="仿宋_GB2312" w:hAnsi="宋体" w:eastAsia="仿宋_GB2312"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58"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kern w:val="0"/>
                <w:sz w:val="24"/>
                <w:lang w:eastAsia="zh-CN"/>
              </w:rPr>
              <w:t>地名办</w:t>
            </w:r>
          </w:p>
        </w:tc>
        <w:tc>
          <w:tcPr>
            <w:tcW w:w="5607" w:type="dxa"/>
            <w:vMerge w:val="restart"/>
            <w:shd w:val="clear" w:color="auto" w:fill="auto"/>
            <w:noWrap w:val="0"/>
            <w:vAlign w:val="center"/>
          </w:tcPr>
          <w:p>
            <w:pPr>
              <w:pStyle w:val="2"/>
              <w:keepNext w:val="0"/>
              <w:keepLines w:val="0"/>
              <w:widowControl/>
              <w:suppressLineNumbers w:val="0"/>
              <w:spacing w:before="450" w:beforeAutospacing="0" w:after="0" w:afterAutospacing="0" w:line="450" w:lineRule="atLeast"/>
              <w:ind w:left="0" w:right="0" w:firstLine="420"/>
              <w:rPr>
                <w:color w:val="333333"/>
                <w:sz w:val="24"/>
                <w:szCs w:val="24"/>
              </w:rPr>
            </w:pPr>
            <w:r>
              <w:rPr>
                <w:rFonts w:ascii="微软雅黑" w:hAnsi="微软雅黑" w:eastAsia="微软雅黑" w:cs="微软雅黑"/>
                <w:i w:val="0"/>
                <w:caps w:val="0"/>
                <w:color w:val="000000"/>
                <w:spacing w:val="0"/>
                <w:sz w:val="32"/>
                <w:szCs w:val="32"/>
                <w:shd w:val="clear" w:fill="FFFFFF"/>
              </w:rPr>
              <w:t>　</w:t>
            </w:r>
            <w:r>
              <w:rPr>
                <w:rFonts w:ascii="微软雅黑" w:hAnsi="微软雅黑" w:eastAsia="微软雅黑" w:cs="微软雅黑"/>
                <w:i w:val="0"/>
                <w:caps w:val="0"/>
                <w:color w:val="000000"/>
                <w:spacing w:val="0"/>
                <w:sz w:val="24"/>
                <w:szCs w:val="24"/>
                <w:shd w:val="clear" w:fill="FFFFFF"/>
              </w:rPr>
              <w:t>　</w:t>
            </w:r>
            <w:r>
              <w:rPr>
                <w:rFonts w:hint="eastAsia" w:ascii="宋体" w:hAnsi="宋体" w:eastAsia="宋体" w:cs="宋体"/>
                <w:color w:val="000000"/>
                <w:sz w:val="24"/>
                <w:szCs w:val="24"/>
                <w:bdr w:val="none" w:color="auto" w:sz="0" w:space="0"/>
                <w:shd w:val="clear" w:fill="FFFFFF"/>
                <w:lang w:val="en-US"/>
              </w:rPr>
              <w:t> </w:t>
            </w:r>
            <w:r>
              <w:rPr>
                <w:rFonts w:hint="eastAsia" w:ascii="宋体" w:hAnsi="宋体" w:eastAsia="宋体" w:cs="宋体"/>
                <w:color w:val="000000"/>
                <w:sz w:val="24"/>
                <w:szCs w:val="24"/>
                <w:bdr w:val="none" w:color="auto" w:sz="0" w:space="0"/>
                <w:shd w:val="clear" w:fill="FFFFFF"/>
              </w:rPr>
              <w:t>贯彻执行国家有关地名工作的方针、政策、法规，落实全国地名工作规划，审核承办本辖区地名的命名、更名，退行地名的标准化、规范化，设置地名标准，管理地名档案。</w:t>
            </w:r>
            <w:r>
              <w:rPr>
                <w:rFonts w:hint="eastAsia" w:ascii="宋体" w:hAnsi="宋体" w:eastAsia="宋体" w:cs="宋体"/>
                <w:color w:val="333333"/>
                <w:sz w:val="24"/>
                <w:szCs w:val="24"/>
                <w:bdr w:val="none" w:color="auto" w:sz="0" w:space="0"/>
                <w:shd w:val="clear" w:fill="FFFFFF"/>
              </w:rPr>
              <w:t> </w:t>
            </w:r>
          </w:p>
          <w:p>
            <w:pPr>
              <w:rPr>
                <w:rFonts w:hint="eastAsia" w:ascii="仿宋_GB2312" w:hAnsi="宋体" w:cs="宋体" w:eastAsiaTheme="minorEastAsia"/>
                <w:sz w:val="24"/>
                <w:lang w:eastAsia="zh-CN"/>
              </w:rPr>
            </w:pPr>
          </w:p>
        </w:tc>
        <w:tc>
          <w:tcPr>
            <w:tcW w:w="1035"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政处</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罚</w:t>
            </w:r>
          </w:p>
          <w:p>
            <w:pPr>
              <w:jc w:val="center"/>
              <w:rPr>
                <w:rFonts w:hint="eastAsia" w:ascii="仿宋_GB2312" w:hAnsi="宋体" w:eastAsia="仿宋_GB2312" w:cs="宋体"/>
                <w:sz w:val="24"/>
                <w:lang w:eastAsia="zh-CN"/>
              </w:rPr>
            </w:pPr>
          </w:p>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政确</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定</w:t>
            </w: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val="en-US" w:eastAsia="zh-CN" w:bidi="ar"/>
              </w:rPr>
              <w:t>5.</w:t>
            </w:r>
            <w:r>
              <w:rPr>
                <w:rFonts w:hint="eastAsia" w:ascii="仿宋_GB2312" w:hAnsi="宋体" w:eastAsia="仿宋_GB2312" w:cs="宋体"/>
                <w:color w:val="000000"/>
                <w:kern w:val="0"/>
                <w:sz w:val="24"/>
                <w:lang w:bidi="ar"/>
              </w:rPr>
              <w:t>事后监管岗：指导镇、街道民政部门做好工作。加强对房地产开发企业使用资质情况进行监督管理</w:t>
            </w:r>
          </w:p>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p>
          <w:p>
            <w:pPr>
              <w:widowControl/>
              <w:numPr>
                <w:ilvl w:val="0"/>
                <w:numId w:val="0"/>
              </w:numPr>
              <w:spacing w:line="320" w:lineRule="exact"/>
              <w:jc w:val="left"/>
              <w:textAlignment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60" w:lineRule="exact"/>
              <w:jc w:val="left"/>
              <w:textAlignment w:val="center"/>
              <w:rPr>
                <w:rFonts w:hint="eastAsia" w:ascii="仿宋_GB2312" w:hAnsi="宋体" w:eastAsia="仿宋_GB2312" w:cs="宋体"/>
                <w:kern w:val="0"/>
                <w:sz w:val="24"/>
                <w:lang w:bidi="ar"/>
              </w:rPr>
            </w:pPr>
          </w:p>
        </w:tc>
      </w:tr>
    </w:tbl>
    <w:p/>
    <w:tbl>
      <w:tblPr>
        <w:tblStyle w:val="6"/>
        <w:tblpPr w:leftFromText="180" w:rightFromText="180" w:vertAnchor="text" w:tblpX="331" w:tblpY="262"/>
        <w:tblOverlap w:val="never"/>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607"/>
        <w:gridCol w:w="1035"/>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58"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kern w:val="0"/>
                <w:sz w:val="24"/>
                <w:lang w:eastAsia="zh-CN"/>
              </w:rPr>
              <w:t>社团股</w:t>
            </w:r>
          </w:p>
        </w:tc>
        <w:tc>
          <w:tcPr>
            <w:tcW w:w="5607" w:type="dxa"/>
            <w:vMerge w:val="restart"/>
            <w:shd w:val="clear" w:color="auto" w:fill="auto"/>
            <w:noWrap w:val="0"/>
            <w:vAlign w:val="center"/>
          </w:tcPr>
          <w:p>
            <w:pPr>
              <w:pStyle w:val="2"/>
              <w:keepNext w:val="0"/>
              <w:keepLines w:val="0"/>
              <w:widowControl/>
              <w:suppressLineNumbers w:val="0"/>
              <w:spacing w:before="450" w:beforeAutospacing="0" w:after="0" w:afterAutospacing="0" w:line="450" w:lineRule="atLeast"/>
              <w:ind w:left="0" w:right="0"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caps w:val="0"/>
                <w:color w:val="000000"/>
                <w:spacing w:val="0"/>
                <w:sz w:val="24"/>
                <w:szCs w:val="24"/>
                <w:shd w:val="clear" w:fill="FFFFFF"/>
              </w:rPr>
              <w:t>　</w:t>
            </w:r>
            <w:r>
              <w:rPr>
                <w:rFonts w:hint="eastAsia" w:asciiTheme="minorEastAsia" w:hAnsiTheme="minorEastAsia" w:eastAsiaTheme="minorEastAsia" w:cstheme="minorEastAsia"/>
                <w:i w:val="0"/>
                <w:caps w:val="0"/>
                <w:color w:val="333333"/>
                <w:spacing w:val="0"/>
                <w:sz w:val="24"/>
                <w:szCs w:val="24"/>
              </w:rPr>
              <w:t>负责全</w:t>
            </w:r>
            <w:r>
              <w:rPr>
                <w:rFonts w:hint="eastAsia" w:asciiTheme="minorEastAsia" w:hAnsiTheme="minorEastAsia" w:eastAsiaTheme="minorEastAsia" w:cstheme="minorEastAsia"/>
                <w:i w:val="0"/>
                <w:caps w:val="0"/>
                <w:color w:val="333333"/>
                <w:spacing w:val="0"/>
                <w:sz w:val="24"/>
                <w:szCs w:val="24"/>
                <w:lang w:eastAsia="zh-CN"/>
              </w:rPr>
              <w:t>区</w:t>
            </w:r>
            <w:r>
              <w:rPr>
                <w:rFonts w:hint="eastAsia" w:asciiTheme="minorEastAsia" w:hAnsiTheme="minorEastAsia" w:eastAsiaTheme="minorEastAsia" w:cstheme="minorEastAsia"/>
                <w:i w:val="0"/>
                <w:caps w:val="0"/>
                <w:color w:val="333333"/>
                <w:spacing w:val="0"/>
                <w:sz w:val="24"/>
                <w:szCs w:val="24"/>
              </w:rPr>
              <w:t>性社会团体及社会团体分支机构、代表机构的设立、变更、注销登记、年检的合法性和有关情况的审核；负责县级民办非企业单位成立、变更、注销登记、年检的合法性和有关情况的审核；查处社团和民办非企业单位的违法行为以及未登记注册的社团和民办非企业单位。</w:t>
            </w:r>
          </w:p>
          <w:p>
            <w:pPr>
              <w:rPr>
                <w:rFonts w:hint="eastAsia" w:ascii="仿宋_GB2312" w:hAnsi="宋体" w:cs="宋体" w:eastAsiaTheme="minorEastAsia"/>
                <w:sz w:val="24"/>
                <w:lang w:val="en-US" w:eastAsia="zh-CN"/>
              </w:rPr>
            </w:pPr>
            <w:r>
              <w:rPr>
                <w:rFonts w:hint="eastAsia" w:asciiTheme="minorEastAsia" w:hAnsiTheme="minorEastAsia" w:eastAsiaTheme="minorEastAsia" w:cstheme="minorEastAsia"/>
                <w:i w:val="0"/>
                <w:caps w:val="0"/>
                <w:color w:val="333333"/>
                <w:spacing w:val="0"/>
                <w:sz w:val="24"/>
                <w:szCs w:val="24"/>
              </w:rPr>
              <w:t>负责全县范围内弃婴、孤残儿童的收养及国内外领养工作</w:t>
            </w:r>
            <w:r>
              <w:rPr>
                <w:rFonts w:hint="eastAsia" w:asciiTheme="minorEastAsia" w:hAnsiTheme="minorEastAsia" w:eastAsiaTheme="minorEastAsia" w:cstheme="minorEastAsia"/>
                <w:i w:val="0"/>
                <w:caps w:val="0"/>
                <w:color w:val="333333"/>
                <w:spacing w:val="0"/>
                <w:sz w:val="24"/>
                <w:szCs w:val="24"/>
                <w:lang w:val="en-US" w:eastAsia="zh-CN"/>
              </w:rPr>
              <w:t>.</w:t>
            </w:r>
            <w:bookmarkStart w:id="0" w:name="_GoBack"/>
            <w:bookmarkEnd w:id="0"/>
          </w:p>
        </w:tc>
        <w:tc>
          <w:tcPr>
            <w:tcW w:w="1035"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政许</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可</w:t>
            </w:r>
          </w:p>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政处</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罚</w:t>
            </w:r>
          </w:p>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政确</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认</w:t>
            </w:r>
          </w:p>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政检</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查</w:t>
            </w: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val="en-US" w:eastAsia="zh-CN" w:bidi="ar"/>
              </w:rPr>
              <w:t>5.</w:t>
            </w:r>
            <w:r>
              <w:rPr>
                <w:rFonts w:hint="eastAsia" w:ascii="仿宋_GB2312" w:hAnsi="宋体" w:eastAsia="仿宋_GB2312" w:cs="宋体"/>
                <w:color w:val="000000"/>
                <w:kern w:val="0"/>
                <w:sz w:val="24"/>
                <w:lang w:bidi="ar"/>
              </w:rPr>
              <w:t>事后监管岗：指导镇、街道民政部门做好工作。加强对房地产开发企业使用资质情况进行监督管理</w:t>
            </w:r>
          </w:p>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p>
          <w:p>
            <w:pPr>
              <w:widowControl/>
              <w:numPr>
                <w:ilvl w:val="0"/>
                <w:numId w:val="0"/>
              </w:numPr>
              <w:spacing w:line="320" w:lineRule="exact"/>
              <w:jc w:val="left"/>
              <w:textAlignment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60" w:lineRule="exact"/>
              <w:jc w:val="left"/>
              <w:textAlignment w:val="center"/>
              <w:rPr>
                <w:rFonts w:hint="eastAsia" w:ascii="仿宋_GB2312" w:hAnsi="宋体" w:eastAsia="仿宋_GB2312"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58"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kern w:val="0"/>
                <w:sz w:val="24"/>
                <w:lang w:eastAsia="zh-CN"/>
              </w:rPr>
              <w:t>婚姻登记</w:t>
            </w:r>
          </w:p>
        </w:tc>
        <w:tc>
          <w:tcPr>
            <w:tcW w:w="5607" w:type="dxa"/>
            <w:vMerge w:val="restart"/>
            <w:shd w:val="clear" w:color="auto" w:fill="auto"/>
            <w:noWrap w:val="0"/>
            <w:vAlign w:val="center"/>
          </w:tcPr>
          <w:p>
            <w:pPr>
              <w:pStyle w:val="2"/>
              <w:keepNext w:val="0"/>
              <w:keepLines w:val="0"/>
              <w:widowControl/>
              <w:suppressLineNumbers w:val="0"/>
              <w:spacing w:before="450" w:beforeAutospacing="0" w:after="0" w:afterAutospacing="0" w:line="450" w:lineRule="atLeast"/>
              <w:ind w:left="0" w:right="0"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caps w:val="0"/>
                <w:color w:val="000000"/>
                <w:spacing w:val="0"/>
                <w:sz w:val="24"/>
                <w:szCs w:val="24"/>
                <w:shd w:val="clear" w:fill="FFFFFF"/>
              </w:rPr>
              <w:t>　</w:t>
            </w:r>
            <w:r>
              <w:rPr>
                <w:rFonts w:hint="eastAsia" w:asciiTheme="minorEastAsia" w:hAnsiTheme="minorEastAsia" w:eastAsiaTheme="minorEastAsia" w:cstheme="minorEastAsia"/>
                <w:i w:val="0"/>
                <w:caps w:val="0"/>
                <w:color w:val="333333"/>
                <w:spacing w:val="0"/>
                <w:sz w:val="24"/>
                <w:szCs w:val="24"/>
              </w:rPr>
              <w:t>负责办理全</w:t>
            </w:r>
            <w:r>
              <w:rPr>
                <w:rFonts w:hint="eastAsia" w:asciiTheme="minorEastAsia" w:hAnsiTheme="minorEastAsia" w:eastAsiaTheme="minorEastAsia" w:cstheme="minorEastAsia"/>
                <w:i w:val="0"/>
                <w:caps w:val="0"/>
                <w:color w:val="333333"/>
                <w:spacing w:val="0"/>
                <w:sz w:val="24"/>
                <w:szCs w:val="24"/>
                <w:lang w:eastAsia="zh-CN"/>
              </w:rPr>
              <w:t>区</w:t>
            </w:r>
            <w:r>
              <w:rPr>
                <w:rFonts w:hint="eastAsia" w:asciiTheme="minorEastAsia" w:hAnsiTheme="minorEastAsia" w:eastAsiaTheme="minorEastAsia" w:cstheme="minorEastAsia"/>
                <w:i w:val="0"/>
                <w:caps w:val="0"/>
                <w:color w:val="333333"/>
                <w:spacing w:val="0"/>
                <w:sz w:val="24"/>
                <w:szCs w:val="24"/>
              </w:rPr>
              <w:t>婚姻登记工作，补发婚姻登记证，出具婚姻登记记录证明、撤消受胁迫的婚姻；完善、巩固、提高全</w:t>
            </w:r>
            <w:r>
              <w:rPr>
                <w:rFonts w:hint="eastAsia" w:asciiTheme="minorEastAsia" w:hAnsiTheme="minorEastAsia" w:eastAsiaTheme="minorEastAsia" w:cstheme="minorEastAsia"/>
                <w:i w:val="0"/>
                <w:caps w:val="0"/>
                <w:color w:val="333333"/>
                <w:spacing w:val="0"/>
                <w:sz w:val="24"/>
                <w:szCs w:val="24"/>
                <w:lang w:eastAsia="zh-CN"/>
              </w:rPr>
              <w:t>区</w:t>
            </w:r>
            <w:r>
              <w:rPr>
                <w:rFonts w:hint="eastAsia" w:asciiTheme="minorEastAsia" w:hAnsiTheme="minorEastAsia" w:eastAsiaTheme="minorEastAsia" w:cstheme="minorEastAsia"/>
                <w:i w:val="0"/>
                <w:caps w:val="0"/>
                <w:color w:val="333333"/>
                <w:spacing w:val="0"/>
                <w:sz w:val="24"/>
                <w:szCs w:val="24"/>
              </w:rPr>
              <w:t>婚姻体制改革成果，探索婚姻管理和服务新路子。</w:t>
            </w:r>
          </w:p>
          <w:p>
            <w:pPr>
              <w:rPr>
                <w:rFonts w:hint="eastAsia" w:ascii="仿宋_GB2312" w:hAnsi="宋体" w:cs="宋体" w:eastAsiaTheme="minorEastAsia"/>
                <w:sz w:val="24"/>
                <w:lang w:eastAsia="zh-CN"/>
              </w:rPr>
            </w:pPr>
          </w:p>
        </w:tc>
        <w:tc>
          <w:tcPr>
            <w:tcW w:w="1035"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政确</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认</w:t>
            </w: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val="en-US" w:eastAsia="zh-CN" w:bidi="ar"/>
              </w:rPr>
              <w:t>5.</w:t>
            </w:r>
            <w:r>
              <w:rPr>
                <w:rFonts w:hint="eastAsia" w:ascii="仿宋_GB2312" w:hAnsi="宋体" w:eastAsia="仿宋_GB2312" w:cs="宋体"/>
                <w:color w:val="000000"/>
                <w:kern w:val="0"/>
                <w:sz w:val="24"/>
                <w:lang w:bidi="ar"/>
              </w:rPr>
              <w:t>事后监管岗：指导镇、街道民政部门做好工作。加强对房地产开发企业使用资质情况进行监督管理</w:t>
            </w:r>
          </w:p>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p>
          <w:p>
            <w:pPr>
              <w:widowControl/>
              <w:numPr>
                <w:ilvl w:val="0"/>
                <w:numId w:val="0"/>
              </w:numPr>
              <w:spacing w:line="320" w:lineRule="exact"/>
              <w:jc w:val="left"/>
              <w:textAlignment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60" w:lineRule="exact"/>
              <w:jc w:val="left"/>
              <w:textAlignment w:val="center"/>
              <w:rPr>
                <w:rFonts w:hint="eastAsia" w:ascii="仿宋_GB2312" w:hAnsi="宋体" w:eastAsia="仿宋_GB2312" w:cs="宋体"/>
                <w:kern w:val="0"/>
                <w:sz w:val="24"/>
                <w:lang w:bidi="ar"/>
              </w:rPr>
            </w:pPr>
          </w:p>
        </w:tc>
      </w:tr>
    </w:tbl>
    <w:p/>
    <w:tbl>
      <w:tblPr>
        <w:tblStyle w:val="6"/>
        <w:tblpPr w:leftFromText="180" w:rightFromText="180" w:vertAnchor="text" w:tblpX="331" w:tblpY="262"/>
        <w:tblOverlap w:val="never"/>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607"/>
        <w:gridCol w:w="1035"/>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58"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kern w:val="0"/>
                <w:sz w:val="24"/>
                <w:lang w:eastAsia="zh-CN"/>
              </w:rPr>
              <w:t>老龄办</w:t>
            </w:r>
          </w:p>
        </w:tc>
        <w:tc>
          <w:tcPr>
            <w:tcW w:w="5607" w:type="dxa"/>
            <w:vMerge w:val="restart"/>
            <w:shd w:val="clear" w:color="auto" w:fill="auto"/>
            <w:noWrap w:val="0"/>
            <w:vAlign w:val="center"/>
          </w:tcPr>
          <w:p>
            <w:pPr>
              <w:pStyle w:val="2"/>
              <w:keepNext w:val="0"/>
              <w:keepLines w:val="0"/>
              <w:widowControl/>
              <w:suppressLineNumbers w:val="0"/>
              <w:spacing w:before="450" w:beforeAutospacing="0" w:after="0" w:afterAutospacing="0" w:line="450" w:lineRule="atLeast"/>
              <w:ind w:left="0" w:right="0"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caps w:val="0"/>
                <w:color w:val="000000"/>
                <w:spacing w:val="0"/>
                <w:sz w:val="24"/>
                <w:szCs w:val="24"/>
                <w:shd w:val="clear" w:fill="FFFFFF"/>
              </w:rPr>
              <w:t>　</w:t>
            </w:r>
            <w:r>
              <w:rPr>
                <w:rFonts w:hint="eastAsia" w:asciiTheme="minorEastAsia" w:hAnsiTheme="minorEastAsia" w:eastAsiaTheme="minorEastAsia" w:cstheme="minorEastAsia"/>
                <w:i w:val="0"/>
                <w:caps w:val="0"/>
                <w:color w:val="333333"/>
                <w:spacing w:val="0"/>
                <w:sz w:val="24"/>
                <w:szCs w:val="24"/>
              </w:rPr>
              <w:t>负责光荣院老人的服务工作；负责城区范围内无劳动能力、无生活来源、无固定居住所、无法定赡养人的“三无”人员和县城周边“五保”老人收养工作；提供养老优待.对百岁老年人实行每人每月发放100元敬老补贴的政策。有条件的地方，可提高补贴标准，扩大敬老补贴发放范围</w:t>
            </w:r>
            <w:r>
              <w:rPr>
                <w:rFonts w:hint="eastAsia" w:asciiTheme="minorEastAsia" w:hAnsiTheme="minorEastAsia" w:eastAsiaTheme="minorEastAsia" w:cstheme="minorEastAsia"/>
                <w:i w:val="0"/>
                <w:caps w:val="0"/>
                <w:color w:val="333333"/>
                <w:spacing w:val="0"/>
                <w:sz w:val="24"/>
                <w:szCs w:val="24"/>
                <w:lang w:eastAsia="zh-CN"/>
              </w:rPr>
              <w:t>，</w:t>
            </w:r>
            <w:r>
              <w:rPr>
                <w:rFonts w:hint="eastAsia" w:asciiTheme="minorEastAsia" w:hAnsiTheme="minorEastAsia" w:eastAsiaTheme="minorEastAsia" w:cstheme="minorEastAsia"/>
                <w:i w:val="0"/>
                <w:caps w:val="0"/>
                <w:color w:val="333333"/>
                <w:spacing w:val="0"/>
                <w:sz w:val="24"/>
                <w:szCs w:val="24"/>
              </w:rPr>
              <w:t>负责开展社区老年人的托养服务</w:t>
            </w:r>
            <w:r>
              <w:rPr>
                <w:rFonts w:hint="eastAsia" w:asciiTheme="minorEastAsia" w:hAnsiTheme="minorEastAsia" w:eastAsiaTheme="minorEastAsia" w:cstheme="minorEastAsia"/>
                <w:i w:val="0"/>
                <w:caps w:val="0"/>
                <w:color w:val="333333"/>
                <w:spacing w:val="0"/>
                <w:sz w:val="24"/>
                <w:szCs w:val="24"/>
                <w:lang w:eastAsia="zh-CN"/>
              </w:rPr>
              <w:t>、</w:t>
            </w:r>
            <w:r>
              <w:rPr>
                <w:rFonts w:hint="eastAsia" w:asciiTheme="minorEastAsia" w:hAnsiTheme="minorEastAsia" w:eastAsiaTheme="minorEastAsia" w:cstheme="minorEastAsia"/>
                <w:i w:val="0"/>
                <w:caps w:val="0"/>
                <w:color w:val="333333"/>
                <w:spacing w:val="0"/>
                <w:sz w:val="24"/>
                <w:szCs w:val="24"/>
              </w:rPr>
              <w:t>医疗康复服务工作；组织开展文明健康的文娱体育活动；完成</w:t>
            </w:r>
            <w:r>
              <w:rPr>
                <w:rFonts w:hint="eastAsia" w:asciiTheme="minorEastAsia" w:hAnsiTheme="minorEastAsia" w:eastAsiaTheme="minorEastAsia" w:cstheme="minorEastAsia"/>
                <w:i w:val="0"/>
                <w:caps w:val="0"/>
                <w:color w:val="333333"/>
                <w:spacing w:val="0"/>
                <w:sz w:val="24"/>
                <w:szCs w:val="24"/>
                <w:lang w:eastAsia="zh-CN"/>
              </w:rPr>
              <w:t>区</w:t>
            </w:r>
            <w:r>
              <w:rPr>
                <w:rFonts w:hint="eastAsia" w:asciiTheme="minorEastAsia" w:hAnsiTheme="minorEastAsia" w:eastAsiaTheme="minorEastAsia" w:cstheme="minorEastAsia"/>
                <w:i w:val="0"/>
                <w:caps w:val="0"/>
                <w:color w:val="333333"/>
                <w:spacing w:val="0"/>
                <w:sz w:val="24"/>
                <w:szCs w:val="24"/>
              </w:rPr>
              <w:t>委、</w:t>
            </w:r>
            <w:r>
              <w:rPr>
                <w:rFonts w:hint="eastAsia" w:asciiTheme="minorEastAsia" w:hAnsiTheme="minorEastAsia" w:eastAsiaTheme="minorEastAsia" w:cstheme="minorEastAsia"/>
                <w:i w:val="0"/>
                <w:caps w:val="0"/>
                <w:color w:val="333333"/>
                <w:spacing w:val="0"/>
                <w:sz w:val="24"/>
                <w:szCs w:val="24"/>
                <w:lang w:eastAsia="zh-CN"/>
              </w:rPr>
              <w:t>区</w:t>
            </w:r>
            <w:r>
              <w:rPr>
                <w:rFonts w:hint="eastAsia" w:asciiTheme="minorEastAsia" w:hAnsiTheme="minorEastAsia" w:eastAsiaTheme="minorEastAsia" w:cstheme="minorEastAsia"/>
                <w:i w:val="0"/>
                <w:caps w:val="0"/>
                <w:color w:val="333333"/>
                <w:spacing w:val="0"/>
                <w:sz w:val="24"/>
                <w:szCs w:val="24"/>
              </w:rPr>
              <w:t>政府和</w:t>
            </w:r>
            <w:r>
              <w:rPr>
                <w:rFonts w:hint="eastAsia" w:asciiTheme="minorEastAsia" w:hAnsiTheme="minorEastAsia" w:eastAsiaTheme="minorEastAsia" w:cstheme="minorEastAsia"/>
                <w:i w:val="0"/>
                <w:caps w:val="0"/>
                <w:color w:val="333333"/>
                <w:spacing w:val="0"/>
                <w:sz w:val="24"/>
                <w:szCs w:val="24"/>
                <w:lang w:eastAsia="zh-CN"/>
              </w:rPr>
              <w:t>区</w:t>
            </w:r>
            <w:r>
              <w:rPr>
                <w:rFonts w:hint="eastAsia" w:asciiTheme="minorEastAsia" w:hAnsiTheme="minorEastAsia" w:eastAsiaTheme="minorEastAsia" w:cstheme="minorEastAsia"/>
                <w:i w:val="0"/>
                <w:caps w:val="0"/>
                <w:color w:val="333333"/>
                <w:spacing w:val="0"/>
                <w:sz w:val="24"/>
                <w:szCs w:val="24"/>
              </w:rPr>
              <w:t>民政局交办的其他工作任务。</w:t>
            </w:r>
          </w:p>
          <w:p>
            <w:pPr>
              <w:rPr>
                <w:rFonts w:hint="eastAsia" w:ascii="仿宋_GB2312" w:hAnsi="宋体" w:cs="宋体" w:eastAsiaTheme="minorEastAsia"/>
                <w:sz w:val="24"/>
                <w:lang w:eastAsia="zh-CN"/>
              </w:rPr>
            </w:pPr>
          </w:p>
        </w:tc>
        <w:tc>
          <w:tcPr>
            <w:tcW w:w="1035"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政给</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付</w:t>
            </w: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val="en-US" w:eastAsia="zh-CN" w:bidi="ar"/>
              </w:rPr>
              <w:t>5.</w:t>
            </w:r>
            <w:r>
              <w:rPr>
                <w:rFonts w:hint="eastAsia" w:ascii="仿宋_GB2312" w:hAnsi="宋体" w:eastAsia="仿宋_GB2312" w:cs="宋体"/>
                <w:color w:val="000000"/>
                <w:kern w:val="0"/>
                <w:sz w:val="24"/>
                <w:lang w:bidi="ar"/>
              </w:rPr>
              <w:t>事后监管岗：指导镇、街道民政部门做好工作。加强对房地产开发企业使用资质情况进行监督管理</w:t>
            </w:r>
          </w:p>
          <w:p>
            <w:pPr>
              <w:widowControl/>
              <w:numPr>
                <w:numId w:val="0"/>
              </w:numPr>
              <w:spacing w:line="320" w:lineRule="exact"/>
              <w:jc w:val="left"/>
              <w:textAlignment w:val="center"/>
              <w:rPr>
                <w:rFonts w:hint="eastAsia" w:ascii="仿宋_GB2312" w:hAnsi="宋体" w:eastAsia="仿宋_GB2312" w:cs="宋体"/>
                <w:color w:val="000000"/>
                <w:kern w:val="0"/>
                <w:sz w:val="24"/>
                <w:lang w:bidi="ar"/>
              </w:rPr>
            </w:pPr>
          </w:p>
          <w:p>
            <w:pPr>
              <w:widowControl/>
              <w:numPr>
                <w:ilvl w:val="0"/>
                <w:numId w:val="0"/>
              </w:numPr>
              <w:spacing w:line="320" w:lineRule="exact"/>
              <w:jc w:val="left"/>
              <w:textAlignment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60" w:lineRule="exact"/>
              <w:jc w:val="left"/>
              <w:textAlignment w:val="center"/>
              <w:rPr>
                <w:rFonts w:hint="eastAsia" w:ascii="仿宋_GB2312" w:hAnsi="宋体" w:eastAsia="仿宋_GB2312"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58"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kern w:val="0"/>
                <w:sz w:val="24"/>
                <w:lang w:eastAsia="zh-CN"/>
              </w:rPr>
              <w:t>殡葬管理所</w:t>
            </w:r>
          </w:p>
        </w:tc>
        <w:tc>
          <w:tcPr>
            <w:tcW w:w="5607" w:type="dxa"/>
            <w:vMerge w:val="restart"/>
            <w:shd w:val="clear" w:color="auto" w:fill="auto"/>
            <w:noWrap w:val="0"/>
            <w:vAlign w:val="center"/>
          </w:tcPr>
          <w:p>
            <w:pPr>
              <w:pStyle w:val="2"/>
              <w:keepNext w:val="0"/>
              <w:keepLines w:val="0"/>
              <w:widowControl/>
              <w:suppressLineNumbers w:val="0"/>
              <w:spacing w:before="450" w:beforeAutospacing="0" w:after="0" w:afterAutospacing="0" w:line="450" w:lineRule="atLeast"/>
              <w:ind w:left="0" w:right="0"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caps w:val="0"/>
                <w:color w:val="000000"/>
                <w:spacing w:val="0"/>
                <w:sz w:val="24"/>
                <w:szCs w:val="24"/>
                <w:shd w:val="clear" w:fill="FFFFFF"/>
              </w:rPr>
              <w:t>　</w:t>
            </w:r>
            <w:r>
              <w:rPr>
                <w:rFonts w:hint="eastAsia" w:asciiTheme="minorEastAsia" w:hAnsiTheme="minorEastAsia" w:eastAsiaTheme="minorEastAsia" w:cstheme="minorEastAsia"/>
                <w:i w:val="0"/>
                <w:caps w:val="0"/>
                <w:color w:val="333333"/>
                <w:spacing w:val="0"/>
                <w:sz w:val="24"/>
                <w:szCs w:val="24"/>
              </w:rPr>
              <w:t>负责宣传贯彻落实国家、省、市有关殡葬改革和管理的方针、政策、法规和规章，研究制订有关制度、办法并监督实施；按授权负责依法监督、检查全县执行殡葬法规及规章情况；负责全县殡葬事务管理，协调和处理城区殡葬改革和管理中出现的矛盾和问题；负责对丧户的接待、遗体的接运、冷藏、整容、悼念和火化工作；为丧户提供系列化的殡仪；负责全县公墓建设的规划、审核、报批和管理监督工作；指导乡镇殡葬改革和管理工作。</w:t>
            </w:r>
          </w:p>
          <w:p>
            <w:pPr>
              <w:rPr>
                <w:rFonts w:hint="eastAsia" w:ascii="仿宋_GB2312" w:hAnsi="宋体" w:cs="宋体" w:eastAsiaTheme="minorEastAsia"/>
                <w:sz w:val="24"/>
                <w:lang w:eastAsia="zh-CN"/>
              </w:rPr>
            </w:pPr>
            <w:r>
              <w:rPr>
                <w:rFonts w:hint="eastAsia" w:asciiTheme="minorEastAsia" w:hAnsiTheme="minorEastAsia" w:eastAsiaTheme="minorEastAsia" w:cstheme="minorEastAsia"/>
                <w:i w:val="0"/>
                <w:caps w:val="0"/>
                <w:color w:val="333333"/>
                <w:spacing w:val="0"/>
                <w:sz w:val="24"/>
                <w:szCs w:val="24"/>
              </w:rPr>
              <w:t>主要职责是负责对城市生活无着落的流浪乞讨人员进行救助管理；负责为流浪乞讨人员提供符合食品卫生要求的食物和符合基本条件的住处；对在站内突发急病的流浪乞讨人员及时送医院救治，并帮助与其亲属或者所在单位联系；对因无交通费返回其住所地或者所在单位的流浪乞讨人员提供乘车凭证；对入站人员进行询问登记，鉴别救助对象的真实身份，维护站内秩序，确保受助人员的合法权益。</w:t>
            </w:r>
          </w:p>
        </w:tc>
        <w:tc>
          <w:tcPr>
            <w:tcW w:w="1035" w:type="dxa"/>
            <w:vMerge w:val="restart"/>
            <w:shd w:val="clear" w:color="auto" w:fill="auto"/>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政许</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可</w:t>
            </w:r>
          </w:p>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行</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政处</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罚</w:t>
            </w: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1.受理岗：</w:t>
            </w:r>
            <w:r>
              <w:rPr>
                <w:rFonts w:hint="eastAsia" w:ascii="仿宋_GB2312" w:hAnsi="宋体" w:eastAsia="仿宋_GB2312" w:cs="宋体"/>
                <w:color w:val="000000"/>
                <w:sz w:val="24"/>
              </w:rPr>
              <w:t>对镇、街道呈报材料进行受理并审查</w:t>
            </w:r>
            <w:r>
              <w:rPr>
                <w:rFonts w:hint="eastAsia" w:ascii="仿宋_GB2312" w:hAnsi="宋体" w:eastAsia="仿宋_GB2312"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2.审查岗：审查报送材料，对符合规定的，进行入户调查。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3.决定岗：作出决定（不予认可的应告知理由）；根据入户意见，召开会审会议，填写审批意见。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20" w:lineRule="exact"/>
              <w:jc w:val="left"/>
              <w:textAlignment w:val="center"/>
              <w:rPr>
                <w:rFonts w:hint="eastAsia" w:ascii="仿宋_GB2312" w:hAnsi="宋体" w:eastAsia="仿宋_GB2312" w:cs="宋体"/>
                <w:sz w:val="24"/>
              </w:rPr>
            </w:pPr>
            <w:r>
              <w:rPr>
                <w:rFonts w:hint="eastAsia" w:ascii="仿宋_GB2312" w:hAnsi="宋体" w:eastAsia="仿宋_GB2312" w:cs="宋体"/>
                <w:color w:val="000000"/>
                <w:kern w:val="0"/>
                <w:sz w:val="24"/>
                <w:lang w:bidi="ar"/>
              </w:rPr>
              <w:t>4.送达岗：报市民政</w:t>
            </w:r>
            <w:r>
              <w:rPr>
                <w:rFonts w:hint="eastAsia" w:ascii="仿宋_GB2312" w:hAnsi="宋体" w:eastAsia="仿宋_GB2312" w:cs="宋体"/>
                <w:color w:val="000000"/>
                <w:kern w:val="0"/>
                <w:sz w:val="24"/>
                <w:lang w:eastAsia="zh-CN" w:bidi="ar"/>
              </w:rPr>
              <w:t>局</w:t>
            </w:r>
            <w:r>
              <w:rPr>
                <w:rFonts w:hint="eastAsia" w:ascii="仿宋_GB2312" w:hAnsi="宋体" w:eastAsia="仿宋_GB2312" w:cs="宋体"/>
                <w:color w:val="000000"/>
                <w:kern w:val="0"/>
                <w:sz w:val="24"/>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numPr>
                <w:ilvl w:val="0"/>
                <w:numId w:val="0"/>
              </w:numPr>
              <w:spacing w:line="32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val="en-US" w:eastAsia="zh-CN" w:bidi="ar"/>
              </w:rPr>
              <w:t>5.</w:t>
            </w:r>
            <w:r>
              <w:rPr>
                <w:rFonts w:hint="eastAsia" w:ascii="仿宋_GB2312" w:hAnsi="宋体" w:eastAsia="仿宋_GB2312" w:cs="宋体"/>
                <w:color w:val="000000"/>
                <w:kern w:val="0"/>
                <w:sz w:val="24"/>
                <w:lang w:bidi="ar"/>
              </w:rPr>
              <w:t>事后监管岗：指导镇、街道民政部门做好工作。加强对房地产开发企业使用资质情况进行监督管理</w:t>
            </w:r>
          </w:p>
          <w:p>
            <w:pPr>
              <w:widowControl/>
              <w:numPr>
                <w:ilvl w:val="0"/>
                <w:numId w:val="0"/>
              </w:numPr>
              <w:spacing w:line="320" w:lineRule="exact"/>
              <w:jc w:val="left"/>
              <w:textAlignment w:val="center"/>
              <w:rPr>
                <w:rFonts w:hint="eastAsia" w:ascii="仿宋_GB2312" w:hAnsi="宋体" w:eastAsia="仿宋_GB2312" w:cs="宋体"/>
                <w:color w:val="000000"/>
                <w:kern w:val="0"/>
                <w:sz w:val="24"/>
                <w:lang w:bidi="ar"/>
              </w:rPr>
            </w:pPr>
          </w:p>
          <w:p>
            <w:pPr>
              <w:widowControl/>
              <w:numPr>
                <w:ilvl w:val="0"/>
                <w:numId w:val="0"/>
              </w:numPr>
              <w:spacing w:line="320" w:lineRule="exact"/>
              <w:jc w:val="left"/>
              <w:textAlignment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158" w:type="dxa"/>
            <w:vMerge w:val="continue"/>
            <w:shd w:val="clear" w:color="auto" w:fill="auto"/>
            <w:noWrap w:val="0"/>
            <w:vAlign w:val="top"/>
          </w:tcPr>
          <w:p>
            <w:pPr>
              <w:jc w:val="center"/>
              <w:rPr>
                <w:rFonts w:hint="eastAsia" w:ascii="仿宋_GB2312" w:hAnsi="宋体" w:eastAsia="仿宋_GB2312" w:cs="宋体"/>
                <w:sz w:val="24"/>
              </w:rPr>
            </w:pPr>
          </w:p>
        </w:tc>
        <w:tc>
          <w:tcPr>
            <w:tcW w:w="5607" w:type="dxa"/>
            <w:vMerge w:val="continue"/>
            <w:shd w:val="clear" w:color="auto" w:fill="auto"/>
            <w:noWrap w:val="0"/>
            <w:vAlign w:val="top"/>
          </w:tcPr>
          <w:p>
            <w:pPr>
              <w:jc w:val="center"/>
              <w:rPr>
                <w:rFonts w:hint="eastAsia" w:ascii="仿宋_GB2312" w:hAnsi="宋体" w:eastAsia="仿宋_GB2312" w:cs="宋体"/>
                <w:sz w:val="24"/>
              </w:rPr>
            </w:pPr>
          </w:p>
        </w:tc>
        <w:tc>
          <w:tcPr>
            <w:tcW w:w="1035" w:type="dxa"/>
            <w:vMerge w:val="continue"/>
            <w:shd w:val="clear" w:color="auto" w:fill="auto"/>
            <w:noWrap w:val="0"/>
            <w:vAlign w:val="top"/>
          </w:tcPr>
          <w:p>
            <w:pPr>
              <w:jc w:val="center"/>
              <w:rPr>
                <w:rFonts w:hint="eastAsia" w:ascii="仿宋_GB2312" w:hAnsi="宋体" w:eastAsia="仿宋_GB2312" w:cs="宋体"/>
                <w:sz w:val="24"/>
              </w:rPr>
            </w:pPr>
          </w:p>
        </w:tc>
        <w:tc>
          <w:tcPr>
            <w:tcW w:w="5958" w:type="dxa"/>
            <w:noWrap w:val="0"/>
            <w:vAlign w:val="center"/>
          </w:tcPr>
          <w:p>
            <w:pPr>
              <w:widowControl/>
              <w:spacing w:line="360" w:lineRule="exact"/>
              <w:jc w:val="left"/>
              <w:textAlignment w:val="center"/>
              <w:rPr>
                <w:rFonts w:hint="eastAsia" w:ascii="仿宋_GB2312" w:hAnsi="宋体" w:eastAsia="仿宋_GB2312" w:cs="宋体"/>
                <w:kern w:val="0"/>
                <w:sz w:val="24"/>
                <w:lang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814BD"/>
    <w:multiLevelType w:val="singleLevel"/>
    <w:tmpl w:val="418814BD"/>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970C3"/>
    <w:rsid w:val="014115B7"/>
    <w:rsid w:val="0A842763"/>
    <w:rsid w:val="1F224860"/>
    <w:rsid w:val="2BE90A60"/>
    <w:rsid w:val="364D591B"/>
    <w:rsid w:val="3D0E263D"/>
    <w:rsid w:val="410970C3"/>
    <w:rsid w:val="44460DAA"/>
    <w:rsid w:val="4DB00EA8"/>
    <w:rsid w:val="7567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2019-11-13T06:44:00Z</dcterms:created>
  <dc:creator>北大软件</dc:creator>
  <cp:lastModifiedBy>北大软件</cp:lastModifiedBy>
  <dcterms:modified xsi:type="dcterms:W3CDTF">2019-11-13T08:06:42Z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