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903769" w:rsidRDefault="00903769" w:rsidP="00903769">
      <w:pPr>
        <w:spacing w:line="220" w:lineRule="atLeast"/>
        <w:jc w:val="center"/>
        <w:rPr>
          <w:rFonts w:asciiTheme="majorEastAsia" w:eastAsiaTheme="majorEastAsia" w:hAnsiTheme="majorEastAsia" w:hint="eastAsia"/>
          <w:sz w:val="36"/>
        </w:rPr>
      </w:pPr>
      <w:r w:rsidRPr="00903769">
        <w:rPr>
          <w:rFonts w:asciiTheme="majorEastAsia" w:eastAsiaTheme="majorEastAsia" w:hAnsiTheme="majorEastAsia" w:hint="eastAsia"/>
          <w:sz w:val="36"/>
        </w:rPr>
        <w:t>新华区农业农村和水利局行政执法权责清单</w:t>
      </w:r>
    </w:p>
    <w:tbl>
      <w:tblPr>
        <w:tblStyle w:val="a3"/>
        <w:tblW w:w="0" w:type="auto"/>
        <w:tblLook w:val="04A0"/>
      </w:tblPr>
      <w:tblGrid>
        <w:gridCol w:w="671"/>
        <w:gridCol w:w="1203"/>
        <w:gridCol w:w="1157"/>
        <w:gridCol w:w="8094"/>
        <w:gridCol w:w="782"/>
        <w:gridCol w:w="1110"/>
        <w:gridCol w:w="1157"/>
      </w:tblGrid>
      <w:tr w:rsidR="00903769" w:rsidRPr="00903769" w:rsidTr="00903769">
        <w:trPr>
          <w:trHeight w:val="285"/>
        </w:trPr>
        <w:tc>
          <w:tcPr>
            <w:tcW w:w="17720" w:type="dxa"/>
            <w:gridSpan w:val="7"/>
            <w:noWrap/>
            <w:hideMark/>
          </w:tcPr>
          <w:p w:rsidR="00903769" w:rsidRPr="00903769" w:rsidRDefault="00903769" w:rsidP="00903769">
            <w:pPr>
              <w:spacing w:line="220" w:lineRule="atLeast"/>
              <w:jc w:val="center"/>
              <w:rPr>
                <w:b/>
                <w:bCs/>
                <w:sz w:val="20"/>
              </w:rPr>
            </w:pPr>
            <w:r w:rsidRPr="00903769">
              <w:rPr>
                <w:rFonts w:hint="eastAsia"/>
                <w:b/>
                <w:bCs/>
                <w:sz w:val="20"/>
              </w:rPr>
              <w:t>职权类别：其它职权</w:t>
            </w:r>
          </w:p>
        </w:tc>
      </w:tr>
      <w:tr w:rsidR="00903769" w:rsidRPr="00903769" w:rsidTr="00903769">
        <w:trPr>
          <w:trHeight w:val="285"/>
        </w:trPr>
        <w:tc>
          <w:tcPr>
            <w:tcW w:w="800" w:type="dxa"/>
            <w:vMerge w:val="restart"/>
            <w:hideMark/>
          </w:tcPr>
          <w:p w:rsidR="00903769" w:rsidRPr="00903769" w:rsidRDefault="00903769" w:rsidP="00903769">
            <w:pPr>
              <w:spacing w:line="220" w:lineRule="atLeast"/>
              <w:jc w:val="center"/>
              <w:rPr>
                <w:sz w:val="20"/>
              </w:rPr>
            </w:pPr>
            <w:r w:rsidRPr="00903769">
              <w:rPr>
                <w:rFonts w:hint="eastAsia"/>
                <w:sz w:val="20"/>
              </w:rPr>
              <w:t>序号</w:t>
            </w:r>
          </w:p>
        </w:tc>
        <w:tc>
          <w:tcPr>
            <w:tcW w:w="1480" w:type="dxa"/>
            <w:vMerge w:val="restart"/>
            <w:hideMark/>
          </w:tcPr>
          <w:p w:rsidR="00903769" w:rsidRPr="00903769" w:rsidRDefault="00903769" w:rsidP="00903769">
            <w:pPr>
              <w:spacing w:line="220" w:lineRule="atLeast"/>
              <w:jc w:val="center"/>
              <w:rPr>
                <w:sz w:val="20"/>
              </w:rPr>
            </w:pPr>
            <w:r w:rsidRPr="00903769">
              <w:rPr>
                <w:rFonts w:hint="eastAsia"/>
                <w:sz w:val="20"/>
              </w:rPr>
              <w:t>职权名称</w:t>
            </w:r>
          </w:p>
        </w:tc>
        <w:tc>
          <w:tcPr>
            <w:tcW w:w="1420" w:type="dxa"/>
            <w:vMerge w:val="restart"/>
            <w:hideMark/>
          </w:tcPr>
          <w:p w:rsidR="00903769" w:rsidRPr="00903769" w:rsidRDefault="00903769" w:rsidP="00903769">
            <w:pPr>
              <w:spacing w:line="220" w:lineRule="atLeast"/>
              <w:jc w:val="center"/>
              <w:rPr>
                <w:sz w:val="20"/>
              </w:rPr>
            </w:pPr>
            <w:r w:rsidRPr="00903769">
              <w:rPr>
                <w:rFonts w:hint="eastAsia"/>
                <w:sz w:val="20"/>
              </w:rPr>
              <w:t>子项</w:t>
            </w:r>
          </w:p>
        </w:tc>
        <w:tc>
          <w:tcPr>
            <w:tcW w:w="10300" w:type="dxa"/>
            <w:vMerge w:val="restart"/>
            <w:hideMark/>
          </w:tcPr>
          <w:p w:rsidR="00903769" w:rsidRPr="00903769" w:rsidRDefault="00903769" w:rsidP="00903769">
            <w:pPr>
              <w:spacing w:line="220" w:lineRule="atLeast"/>
              <w:jc w:val="center"/>
              <w:rPr>
                <w:sz w:val="20"/>
              </w:rPr>
            </w:pPr>
            <w:r w:rsidRPr="00903769">
              <w:rPr>
                <w:rFonts w:hint="eastAsia"/>
                <w:sz w:val="20"/>
              </w:rPr>
              <w:t>实施依据</w:t>
            </w:r>
          </w:p>
        </w:tc>
        <w:tc>
          <w:tcPr>
            <w:tcW w:w="940" w:type="dxa"/>
            <w:vMerge w:val="restart"/>
            <w:hideMark/>
          </w:tcPr>
          <w:p w:rsidR="00903769" w:rsidRPr="00903769" w:rsidRDefault="00903769" w:rsidP="00903769">
            <w:pPr>
              <w:spacing w:line="220" w:lineRule="atLeast"/>
              <w:jc w:val="center"/>
              <w:rPr>
                <w:sz w:val="20"/>
              </w:rPr>
            </w:pPr>
            <w:r w:rsidRPr="00903769">
              <w:rPr>
                <w:rFonts w:hint="eastAsia"/>
                <w:sz w:val="20"/>
              </w:rPr>
              <w:t>实施对象</w:t>
            </w:r>
          </w:p>
        </w:tc>
        <w:tc>
          <w:tcPr>
            <w:tcW w:w="1360" w:type="dxa"/>
            <w:vMerge w:val="restart"/>
            <w:hideMark/>
          </w:tcPr>
          <w:p w:rsidR="00903769" w:rsidRPr="00903769" w:rsidRDefault="00903769" w:rsidP="00903769">
            <w:pPr>
              <w:spacing w:line="220" w:lineRule="atLeast"/>
              <w:jc w:val="center"/>
              <w:rPr>
                <w:sz w:val="20"/>
              </w:rPr>
            </w:pPr>
            <w:r w:rsidRPr="00903769">
              <w:rPr>
                <w:rFonts w:hint="eastAsia"/>
                <w:sz w:val="20"/>
              </w:rPr>
              <w:t>实施机构</w:t>
            </w:r>
          </w:p>
        </w:tc>
        <w:tc>
          <w:tcPr>
            <w:tcW w:w="1420" w:type="dxa"/>
            <w:vMerge w:val="restart"/>
            <w:hideMark/>
          </w:tcPr>
          <w:p w:rsidR="00903769" w:rsidRPr="00903769" w:rsidRDefault="00903769" w:rsidP="00903769">
            <w:pPr>
              <w:spacing w:line="220" w:lineRule="atLeast"/>
              <w:jc w:val="center"/>
              <w:rPr>
                <w:sz w:val="20"/>
              </w:rPr>
            </w:pPr>
            <w:r w:rsidRPr="00903769">
              <w:rPr>
                <w:rFonts w:hint="eastAsia"/>
                <w:sz w:val="20"/>
              </w:rPr>
              <w:t>其他共同实施部门</w:t>
            </w:r>
          </w:p>
        </w:tc>
      </w:tr>
      <w:tr w:rsidR="00903769" w:rsidRPr="00903769" w:rsidTr="00903769">
        <w:trPr>
          <w:trHeight w:val="285"/>
        </w:trPr>
        <w:tc>
          <w:tcPr>
            <w:tcW w:w="800" w:type="dxa"/>
            <w:vMerge/>
            <w:hideMark/>
          </w:tcPr>
          <w:p w:rsidR="00903769" w:rsidRPr="00903769" w:rsidRDefault="00903769" w:rsidP="00903769">
            <w:pPr>
              <w:spacing w:line="220" w:lineRule="atLeast"/>
              <w:jc w:val="center"/>
              <w:rPr>
                <w:sz w:val="20"/>
              </w:rPr>
            </w:pPr>
          </w:p>
        </w:tc>
        <w:tc>
          <w:tcPr>
            <w:tcW w:w="1480" w:type="dxa"/>
            <w:vMerge/>
            <w:hideMark/>
          </w:tcPr>
          <w:p w:rsidR="00903769" w:rsidRPr="00903769" w:rsidRDefault="00903769" w:rsidP="00903769">
            <w:pPr>
              <w:spacing w:line="220" w:lineRule="atLeast"/>
              <w:jc w:val="center"/>
              <w:rPr>
                <w:sz w:val="20"/>
              </w:rPr>
            </w:pPr>
          </w:p>
        </w:tc>
        <w:tc>
          <w:tcPr>
            <w:tcW w:w="1420" w:type="dxa"/>
            <w:vMerge/>
            <w:hideMark/>
          </w:tcPr>
          <w:p w:rsidR="00903769" w:rsidRPr="00903769" w:rsidRDefault="00903769" w:rsidP="00903769">
            <w:pPr>
              <w:spacing w:line="220" w:lineRule="atLeast"/>
              <w:jc w:val="center"/>
              <w:rPr>
                <w:sz w:val="20"/>
              </w:rPr>
            </w:pPr>
          </w:p>
        </w:tc>
        <w:tc>
          <w:tcPr>
            <w:tcW w:w="10300" w:type="dxa"/>
            <w:vMerge/>
            <w:hideMark/>
          </w:tcPr>
          <w:p w:rsidR="00903769" w:rsidRPr="00903769" w:rsidRDefault="00903769" w:rsidP="00903769">
            <w:pPr>
              <w:spacing w:line="220" w:lineRule="atLeast"/>
              <w:jc w:val="center"/>
              <w:rPr>
                <w:sz w:val="20"/>
              </w:rPr>
            </w:pPr>
          </w:p>
        </w:tc>
        <w:tc>
          <w:tcPr>
            <w:tcW w:w="940" w:type="dxa"/>
            <w:vMerge/>
            <w:hideMark/>
          </w:tcPr>
          <w:p w:rsidR="00903769" w:rsidRPr="00903769" w:rsidRDefault="00903769" w:rsidP="00903769">
            <w:pPr>
              <w:spacing w:line="220" w:lineRule="atLeast"/>
              <w:jc w:val="center"/>
              <w:rPr>
                <w:sz w:val="20"/>
              </w:rPr>
            </w:pPr>
          </w:p>
        </w:tc>
        <w:tc>
          <w:tcPr>
            <w:tcW w:w="1360" w:type="dxa"/>
            <w:vMerge/>
            <w:hideMark/>
          </w:tcPr>
          <w:p w:rsidR="00903769" w:rsidRPr="00903769" w:rsidRDefault="00903769" w:rsidP="00903769">
            <w:pPr>
              <w:spacing w:line="220" w:lineRule="atLeast"/>
              <w:jc w:val="center"/>
              <w:rPr>
                <w:sz w:val="20"/>
              </w:rPr>
            </w:pPr>
          </w:p>
        </w:tc>
        <w:tc>
          <w:tcPr>
            <w:tcW w:w="1420" w:type="dxa"/>
            <w:vMerge/>
            <w:hideMark/>
          </w:tcPr>
          <w:p w:rsidR="00903769" w:rsidRPr="00903769" w:rsidRDefault="00903769" w:rsidP="00903769">
            <w:pPr>
              <w:spacing w:line="220" w:lineRule="atLeast"/>
              <w:jc w:val="center"/>
              <w:rPr>
                <w:sz w:val="20"/>
              </w:rPr>
            </w:pPr>
          </w:p>
        </w:tc>
      </w:tr>
      <w:tr w:rsidR="00903769" w:rsidRPr="00903769" w:rsidTr="00903769">
        <w:trPr>
          <w:trHeight w:val="4845"/>
        </w:trPr>
        <w:tc>
          <w:tcPr>
            <w:tcW w:w="800" w:type="dxa"/>
            <w:hideMark/>
          </w:tcPr>
          <w:p w:rsidR="00903769" w:rsidRPr="00903769" w:rsidRDefault="00903769" w:rsidP="00903769">
            <w:pPr>
              <w:spacing w:line="220" w:lineRule="atLeast"/>
              <w:jc w:val="center"/>
              <w:rPr>
                <w:sz w:val="20"/>
              </w:rPr>
            </w:pPr>
            <w:r w:rsidRPr="00903769">
              <w:rPr>
                <w:rFonts w:hint="eastAsia"/>
                <w:sz w:val="20"/>
              </w:rPr>
              <w:t>1</w:t>
            </w:r>
          </w:p>
        </w:tc>
        <w:tc>
          <w:tcPr>
            <w:tcW w:w="1480" w:type="dxa"/>
            <w:hideMark/>
          </w:tcPr>
          <w:p w:rsidR="00903769" w:rsidRPr="00903769" w:rsidRDefault="00903769" w:rsidP="00903769">
            <w:pPr>
              <w:spacing w:line="220" w:lineRule="atLeast"/>
              <w:jc w:val="center"/>
              <w:rPr>
                <w:sz w:val="20"/>
              </w:rPr>
            </w:pPr>
            <w:r w:rsidRPr="00903769">
              <w:rPr>
                <w:rFonts w:hint="eastAsia"/>
                <w:sz w:val="20"/>
              </w:rPr>
              <w:t>受委托代销种子</w:t>
            </w:r>
          </w:p>
        </w:tc>
        <w:tc>
          <w:tcPr>
            <w:tcW w:w="1420" w:type="dxa"/>
            <w:hideMark/>
          </w:tcPr>
          <w:p w:rsidR="00903769" w:rsidRPr="00903769" w:rsidRDefault="00903769" w:rsidP="00903769">
            <w:pPr>
              <w:spacing w:line="220" w:lineRule="atLeast"/>
              <w:jc w:val="center"/>
              <w:rPr>
                <w:sz w:val="20"/>
              </w:rPr>
            </w:pPr>
            <w:r w:rsidRPr="00903769">
              <w:rPr>
                <w:rFonts w:hint="eastAsia"/>
                <w:sz w:val="20"/>
              </w:rPr>
              <w:t>受委托代销种子</w:t>
            </w:r>
          </w:p>
        </w:tc>
        <w:tc>
          <w:tcPr>
            <w:tcW w:w="10300" w:type="dxa"/>
            <w:hideMark/>
          </w:tcPr>
          <w:p w:rsidR="00903769" w:rsidRPr="00903769" w:rsidRDefault="00903769" w:rsidP="00903769">
            <w:pPr>
              <w:spacing w:line="220" w:lineRule="atLeast"/>
              <w:jc w:val="center"/>
              <w:rPr>
                <w:sz w:val="20"/>
              </w:rPr>
            </w:pPr>
            <w:r w:rsidRPr="00903769">
              <w:rPr>
                <w:rFonts w:hint="eastAsia"/>
                <w:sz w:val="20"/>
              </w:rPr>
              <w:t>《中华人民共和国种子法》（</w:t>
            </w:r>
            <w:r w:rsidRPr="00903769">
              <w:rPr>
                <w:rFonts w:hint="eastAsia"/>
                <w:sz w:val="20"/>
              </w:rPr>
              <w:t>2016</w:t>
            </w:r>
            <w:r w:rsidRPr="00903769">
              <w:rPr>
                <w:rFonts w:hint="eastAsia"/>
                <w:sz w:val="20"/>
              </w:rPr>
              <w:t>年版）第三十八条</w:t>
            </w:r>
            <w:r w:rsidRPr="00903769">
              <w:rPr>
                <w:rFonts w:hint="eastAsia"/>
                <w:sz w:val="20"/>
              </w:rPr>
              <w:t xml:space="preserve"> </w:t>
            </w:r>
            <w:r w:rsidRPr="00903769">
              <w:rPr>
                <w:rFonts w:hint="eastAsia"/>
                <w:sz w:val="20"/>
              </w:rPr>
              <w:t>种子生产经营许可证的有效区域由发证机关在其管辖范围内确定。种子生产经营者在种子生产经营许可证载明的有效区域设立分支机构的，专门经营不再分装的包装种子的，或者受具有种子生产经营许可证的种子生产经营者以书面委托生产、代销其种子的，不需要办理种子生产经营许可证，但应当向当地农业、林业主管部门备案。《农作物种子生产经营许可管理办法》（</w:t>
            </w:r>
            <w:r w:rsidRPr="00903769">
              <w:rPr>
                <w:rFonts w:hint="eastAsia"/>
                <w:sz w:val="20"/>
              </w:rPr>
              <w:t>2017</w:t>
            </w:r>
            <w:r w:rsidRPr="00903769">
              <w:rPr>
                <w:rFonts w:hint="eastAsia"/>
                <w:sz w:val="20"/>
              </w:rPr>
              <w:t>年</w:t>
            </w:r>
            <w:r w:rsidRPr="00903769">
              <w:rPr>
                <w:rFonts w:hint="eastAsia"/>
                <w:sz w:val="20"/>
              </w:rPr>
              <w:t>11</w:t>
            </w:r>
            <w:r w:rsidRPr="00903769">
              <w:rPr>
                <w:rFonts w:hint="eastAsia"/>
                <w:sz w:val="20"/>
              </w:rPr>
              <w:t>月</w:t>
            </w:r>
            <w:r w:rsidRPr="00903769">
              <w:rPr>
                <w:rFonts w:hint="eastAsia"/>
                <w:sz w:val="20"/>
              </w:rPr>
              <w:t>30</w:t>
            </w:r>
            <w:r w:rsidRPr="00903769">
              <w:rPr>
                <w:rFonts w:hint="eastAsia"/>
                <w:sz w:val="20"/>
              </w:rPr>
              <w:t>日农业部令</w:t>
            </w:r>
            <w:r w:rsidRPr="00903769">
              <w:rPr>
                <w:rFonts w:hint="eastAsia"/>
                <w:sz w:val="20"/>
              </w:rPr>
              <w:t>2017</w:t>
            </w:r>
            <w:r w:rsidRPr="00903769">
              <w:rPr>
                <w:rFonts w:hint="eastAsia"/>
                <w:sz w:val="20"/>
              </w:rPr>
              <w:t>年第</w:t>
            </w:r>
            <w:r w:rsidRPr="00903769">
              <w:rPr>
                <w:rFonts w:hint="eastAsia"/>
                <w:sz w:val="20"/>
              </w:rPr>
              <w:t>10</w:t>
            </w:r>
            <w:r w:rsidRPr="00903769">
              <w:rPr>
                <w:rFonts w:hint="eastAsia"/>
                <w:sz w:val="20"/>
              </w:rPr>
              <w:t>号修订）第二十二条</w:t>
            </w:r>
            <w:r w:rsidRPr="00903769">
              <w:rPr>
                <w:rFonts w:hint="eastAsia"/>
                <w:sz w:val="20"/>
              </w:rPr>
              <w:t xml:space="preserve">  </w:t>
            </w:r>
            <w:r w:rsidRPr="00903769">
              <w:rPr>
                <w:rFonts w:hint="eastAsia"/>
                <w:sz w:val="20"/>
              </w:rPr>
              <w:t>种子生产经营者在种子生产经营许可证载明有效区域设立的分支机构，应当在取得或变更分支机构营业执照后十五个工作日内向当地县级农业主管部门备案。备案时应当提交分支机构的营业执照复印件、设立企业的种子生产经营许可证复印件以及分支机构名称、住所、负责人、联系方式等材料。第二十三条</w:t>
            </w:r>
            <w:r w:rsidRPr="00903769">
              <w:rPr>
                <w:rFonts w:hint="eastAsia"/>
                <w:sz w:val="20"/>
              </w:rPr>
              <w:t xml:space="preserve">  </w:t>
            </w:r>
            <w:r w:rsidRPr="00903769">
              <w:rPr>
                <w:rFonts w:hint="eastAsia"/>
                <w:sz w:val="20"/>
              </w:rPr>
              <w:t>专门经营不再分装的包装种子或者受具有种子生产经营许可证的企业书面委托代销其种子的，应当在种子销售前向当地县级农业主管部门备案，并建立种子销售台账。备案时应当提交种子销售者的营业执照复印件、种子购销凭证或委托代销合同复印件，以及种子销售者名称、住所、经营方式、负责人、联系方式、销售地点、品种名称、种子数量等材料。种子销售台账应当如实记录销售种子的品种名称、种子数量、种子来源和种子去向。第二十四条受具有种子生产经营许可证的企业书面委托生产其种子的，应当在种子播种前向当地县级农业主管部门备案。备案时应当提交委托企业的种子生产经营许可证复印件、委托生产合同，以及种子生产者名称、住所、负责人、联系方式、品种名称、生产地点、生产面积等材料。</w:t>
            </w:r>
          </w:p>
        </w:tc>
        <w:tc>
          <w:tcPr>
            <w:tcW w:w="940" w:type="dxa"/>
            <w:hideMark/>
          </w:tcPr>
          <w:p w:rsidR="00903769" w:rsidRPr="00903769" w:rsidRDefault="00903769" w:rsidP="00903769">
            <w:pPr>
              <w:spacing w:line="220" w:lineRule="atLeast"/>
              <w:jc w:val="center"/>
              <w:rPr>
                <w:sz w:val="20"/>
              </w:rPr>
            </w:pPr>
            <w:r w:rsidRPr="00903769">
              <w:rPr>
                <w:rFonts w:hint="eastAsia"/>
                <w:sz w:val="20"/>
              </w:rPr>
              <w:t>法定自然人</w:t>
            </w:r>
          </w:p>
        </w:tc>
        <w:tc>
          <w:tcPr>
            <w:tcW w:w="1360" w:type="dxa"/>
            <w:hideMark/>
          </w:tcPr>
          <w:p w:rsidR="00903769" w:rsidRPr="00903769" w:rsidRDefault="00903769" w:rsidP="00903769">
            <w:pPr>
              <w:spacing w:line="220" w:lineRule="atLeast"/>
              <w:jc w:val="center"/>
              <w:rPr>
                <w:sz w:val="20"/>
              </w:rPr>
            </w:pPr>
            <w:r w:rsidRPr="00903769">
              <w:rPr>
                <w:rFonts w:hint="eastAsia"/>
                <w:sz w:val="20"/>
              </w:rPr>
              <w:t>农业农村和水利局</w:t>
            </w:r>
          </w:p>
        </w:tc>
        <w:tc>
          <w:tcPr>
            <w:tcW w:w="1420" w:type="dxa"/>
            <w:hideMark/>
          </w:tcPr>
          <w:p w:rsidR="00903769" w:rsidRPr="00903769" w:rsidRDefault="00903769" w:rsidP="00903769">
            <w:pPr>
              <w:spacing w:line="220" w:lineRule="atLeast"/>
              <w:jc w:val="center"/>
              <w:rPr>
                <w:sz w:val="20"/>
              </w:rPr>
            </w:pPr>
            <w:r w:rsidRPr="00903769">
              <w:rPr>
                <w:rFonts w:hint="eastAsia"/>
                <w:sz w:val="20"/>
              </w:rPr>
              <w:t xml:space="preserve">　</w:t>
            </w:r>
          </w:p>
        </w:tc>
      </w:tr>
      <w:tr w:rsidR="00903769" w:rsidRPr="00903769" w:rsidTr="00903769">
        <w:trPr>
          <w:trHeight w:val="3135"/>
        </w:trPr>
        <w:tc>
          <w:tcPr>
            <w:tcW w:w="800" w:type="dxa"/>
            <w:hideMark/>
          </w:tcPr>
          <w:p w:rsidR="00903769" w:rsidRPr="00903769" w:rsidRDefault="00903769" w:rsidP="00903769">
            <w:pPr>
              <w:spacing w:line="220" w:lineRule="atLeast"/>
              <w:jc w:val="center"/>
              <w:rPr>
                <w:sz w:val="20"/>
              </w:rPr>
            </w:pPr>
            <w:r w:rsidRPr="00903769">
              <w:rPr>
                <w:rFonts w:hint="eastAsia"/>
                <w:sz w:val="20"/>
              </w:rPr>
              <w:lastRenderedPageBreak/>
              <w:t>2</w:t>
            </w:r>
          </w:p>
        </w:tc>
        <w:tc>
          <w:tcPr>
            <w:tcW w:w="1480" w:type="dxa"/>
            <w:hideMark/>
          </w:tcPr>
          <w:p w:rsidR="00903769" w:rsidRPr="00903769" w:rsidRDefault="00903769" w:rsidP="00903769">
            <w:pPr>
              <w:spacing w:line="220" w:lineRule="atLeast"/>
              <w:jc w:val="center"/>
              <w:rPr>
                <w:sz w:val="20"/>
              </w:rPr>
            </w:pPr>
            <w:r w:rsidRPr="00903769">
              <w:rPr>
                <w:rFonts w:hint="eastAsia"/>
                <w:sz w:val="20"/>
              </w:rPr>
              <w:t>生产建设项目水土保持设施自主验收报备</w:t>
            </w:r>
          </w:p>
        </w:tc>
        <w:tc>
          <w:tcPr>
            <w:tcW w:w="1420" w:type="dxa"/>
            <w:hideMark/>
          </w:tcPr>
          <w:p w:rsidR="00903769" w:rsidRPr="00903769" w:rsidRDefault="00903769" w:rsidP="00903769">
            <w:pPr>
              <w:spacing w:line="220" w:lineRule="atLeast"/>
              <w:jc w:val="center"/>
              <w:rPr>
                <w:sz w:val="20"/>
              </w:rPr>
            </w:pPr>
            <w:r w:rsidRPr="00903769">
              <w:rPr>
                <w:rFonts w:hint="eastAsia"/>
                <w:sz w:val="20"/>
              </w:rPr>
              <w:t>生产建设项目水土保持设施自主验收报备</w:t>
            </w:r>
          </w:p>
        </w:tc>
        <w:tc>
          <w:tcPr>
            <w:tcW w:w="10300" w:type="dxa"/>
            <w:hideMark/>
          </w:tcPr>
          <w:p w:rsidR="00903769" w:rsidRPr="00903769" w:rsidRDefault="00903769" w:rsidP="00903769">
            <w:pPr>
              <w:spacing w:line="220" w:lineRule="atLeast"/>
              <w:jc w:val="center"/>
              <w:rPr>
                <w:sz w:val="20"/>
              </w:rPr>
            </w:pPr>
            <w:r w:rsidRPr="00903769">
              <w:rPr>
                <w:rFonts w:hint="eastAsia"/>
                <w:sz w:val="20"/>
              </w:rPr>
              <w:t>1</w:t>
            </w:r>
            <w:r w:rsidRPr="00903769">
              <w:rPr>
                <w:rFonts w:hint="eastAsia"/>
                <w:sz w:val="20"/>
              </w:rPr>
              <w:t>、《中华人民共和国水土保持法》第二十七条：依法应当编制水土保持方案的生产建设项目中的水土保持设施，应当与主体工程同时设计、同时施工、同时投产使用；生产建设项目竣工验收，应当验收水土保持设施；水土保持设施未经验收或者验收不合格的，生产建设项目不得投产使用。</w:t>
            </w:r>
            <w:r w:rsidRPr="00903769">
              <w:rPr>
                <w:rFonts w:hint="eastAsia"/>
                <w:sz w:val="20"/>
              </w:rPr>
              <w:t>2</w:t>
            </w:r>
            <w:r w:rsidRPr="00903769">
              <w:rPr>
                <w:rFonts w:hint="eastAsia"/>
                <w:sz w:val="20"/>
              </w:rPr>
              <w:t>、《河南省实施〈中华人民共和国水土保持法〉办法》第二十六条：生产建设项目竣工验收，应当验收水土保持设施。水土保持设施未经验收或者验收不合格的，生产建设项目不得投入使用。分期建设、分期投入使用的生产建设项目，其相应的水土保持设施应当分期验收。</w:t>
            </w:r>
            <w:r w:rsidRPr="00903769">
              <w:rPr>
                <w:rFonts w:hint="eastAsia"/>
                <w:sz w:val="20"/>
              </w:rPr>
              <w:t>3</w:t>
            </w:r>
            <w:r w:rsidRPr="00903769">
              <w:rPr>
                <w:rFonts w:hint="eastAsia"/>
                <w:sz w:val="20"/>
              </w:rPr>
              <w:t>、《水利部关于加强事中事后监管规范生产建设项目水土保持设施自主验收的通知》（水保〔</w:t>
            </w:r>
            <w:r w:rsidRPr="00903769">
              <w:rPr>
                <w:rFonts w:hint="eastAsia"/>
                <w:sz w:val="20"/>
              </w:rPr>
              <w:t>2017</w:t>
            </w:r>
            <w:r w:rsidRPr="00903769">
              <w:rPr>
                <w:rFonts w:hint="eastAsia"/>
                <w:sz w:val="20"/>
              </w:rPr>
              <w:t>〕</w:t>
            </w:r>
            <w:r w:rsidRPr="00903769">
              <w:rPr>
                <w:rFonts w:hint="eastAsia"/>
                <w:sz w:val="20"/>
              </w:rPr>
              <w:t>365</w:t>
            </w:r>
            <w:r w:rsidRPr="00903769">
              <w:rPr>
                <w:rFonts w:hint="eastAsia"/>
                <w:sz w:val="20"/>
              </w:rPr>
              <w:t>号）：生产建设单位应在向社会公开水土保持设施验收材料后、生产建设项目投产使用前，向水土保持方案审批机关报备水土保持设施验收材料。</w:t>
            </w:r>
            <w:r w:rsidRPr="00903769">
              <w:rPr>
                <w:rFonts w:hint="eastAsia"/>
                <w:sz w:val="20"/>
              </w:rPr>
              <w:t>4</w:t>
            </w:r>
            <w:r w:rsidRPr="00903769">
              <w:rPr>
                <w:rFonts w:hint="eastAsia"/>
                <w:sz w:val="20"/>
              </w:rPr>
              <w:t>、《河南省水利厅转发水利部关于加强事中事后监管规范生产建设项目水土保持设施自主验收的通知》（豫水办保〔</w:t>
            </w:r>
            <w:r w:rsidRPr="00903769">
              <w:rPr>
                <w:rFonts w:hint="eastAsia"/>
                <w:sz w:val="20"/>
              </w:rPr>
              <w:t>2017</w:t>
            </w:r>
            <w:r w:rsidRPr="00903769">
              <w:rPr>
                <w:rFonts w:hint="eastAsia"/>
                <w:sz w:val="20"/>
              </w:rPr>
              <w:t>〕</w:t>
            </w:r>
            <w:r w:rsidRPr="00903769">
              <w:rPr>
                <w:rFonts w:hint="eastAsia"/>
                <w:sz w:val="20"/>
              </w:rPr>
              <w:t>33</w:t>
            </w:r>
            <w:r w:rsidRPr="00903769">
              <w:rPr>
                <w:rFonts w:hint="eastAsia"/>
                <w:sz w:val="20"/>
              </w:rPr>
              <w:t>号）：生产建设单位在按要求提供报备材料的同时，要将提交的报备材料录入水行政主管部门的信息系统。</w:t>
            </w:r>
          </w:p>
        </w:tc>
        <w:tc>
          <w:tcPr>
            <w:tcW w:w="940" w:type="dxa"/>
            <w:hideMark/>
          </w:tcPr>
          <w:p w:rsidR="00903769" w:rsidRPr="00903769" w:rsidRDefault="00903769" w:rsidP="00903769">
            <w:pPr>
              <w:spacing w:line="220" w:lineRule="atLeast"/>
              <w:jc w:val="center"/>
              <w:rPr>
                <w:sz w:val="20"/>
              </w:rPr>
            </w:pPr>
            <w:r w:rsidRPr="00903769">
              <w:rPr>
                <w:rFonts w:hint="eastAsia"/>
                <w:sz w:val="20"/>
              </w:rPr>
              <w:t>法定自然人</w:t>
            </w:r>
          </w:p>
        </w:tc>
        <w:tc>
          <w:tcPr>
            <w:tcW w:w="1360" w:type="dxa"/>
            <w:hideMark/>
          </w:tcPr>
          <w:p w:rsidR="00903769" w:rsidRPr="00903769" w:rsidRDefault="00903769" w:rsidP="00903769">
            <w:pPr>
              <w:spacing w:line="220" w:lineRule="atLeast"/>
              <w:jc w:val="center"/>
              <w:rPr>
                <w:sz w:val="20"/>
              </w:rPr>
            </w:pPr>
            <w:r w:rsidRPr="00903769">
              <w:rPr>
                <w:rFonts w:hint="eastAsia"/>
                <w:sz w:val="20"/>
              </w:rPr>
              <w:t>农业农村和水利局</w:t>
            </w:r>
          </w:p>
        </w:tc>
        <w:tc>
          <w:tcPr>
            <w:tcW w:w="1420" w:type="dxa"/>
            <w:hideMark/>
          </w:tcPr>
          <w:p w:rsidR="00903769" w:rsidRPr="00903769" w:rsidRDefault="00903769" w:rsidP="00903769">
            <w:pPr>
              <w:spacing w:line="220" w:lineRule="atLeast"/>
              <w:jc w:val="center"/>
              <w:rPr>
                <w:sz w:val="20"/>
              </w:rPr>
            </w:pPr>
            <w:r w:rsidRPr="00903769">
              <w:rPr>
                <w:rFonts w:hint="eastAsia"/>
                <w:sz w:val="20"/>
              </w:rPr>
              <w:t xml:space="preserve">　</w:t>
            </w:r>
          </w:p>
        </w:tc>
      </w:tr>
      <w:tr w:rsidR="00903769" w:rsidRPr="00903769" w:rsidTr="00903769">
        <w:trPr>
          <w:trHeight w:val="3015"/>
        </w:trPr>
        <w:tc>
          <w:tcPr>
            <w:tcW w:w="800" w:type="dxa"/>
            <w:hideMark/>
          </w:tcPr>
          <w:p w:rsidR="00903769" w:rsidRPr="00903769" w:rsidRDefault="00903769" w:rsidP="00903769">
            <w:pPr>
              <w:spacing w:line="220" w:lineRule="atLeast"/>
              <w:jc w:val="center"/>
              <w:rPr>
                <w:sz w:val="20"/>
              </w:rPr>
            </w:pPr>
            <w:r w:rsidRPr="00903769">
              <w:rPr>
                <w:rFonts w:hint="eastAsia"/>
                <w:sz w:val="20"/>
              </w:rPr>
              <w:t>3</w:t>
            </w:r>
          </w:p>
        </w:tc>
        <w:tc>
          <w:tcPr>
            <w:tcW w:w="1480" w:type="dxa"/>
            <w:hideMark/>
          </w:tcPr>
          <w:p w:rsidR="00903769" w:rsidRPr="00903769" w:rsidRDefault="00903769" w:rsidP="00903769">
            <w:pPr>
              <w:spacing w:line="220" w:lineRule="atLeast"/>
              <w:jc w:val="center"/>
              <w:rPr>
                <w:sz w:val="20"/>
              </w:rPr>
            </w:pPr>
            <w:r w:rsidRPr="00903769">
              <w:rPr>
                <w:rFonts w:hint="eastAsia"/>
                <w:sz w:val="20"/>
              </w:rPr>
              <w:t>水利工程建设项目竣工验收</w:t>
            </w:r>
          </w:p>
        </w:tc>
        <w:tc>
          <w:tcPr>
            <w:tcW w:w="1420" w:type="dxa"/>
            <w:hideMark/>
          </w:tcPr>
          <w:p w:rsidR="00903769" w:rsidRPr="00903769" w:rsidRDefault="00903769" w:rsidP="00903769">
            <w:pPr>
              <w:spacing w:line="220" w:lineRule="atLeast"/>
              <w:jc w:val="center"/>
              <w:rPr>
                <w:sz w:val="20"/>
              </w:rPr>
            </w:pPr>
            <w:r w:rsidRPr="00903769">
              <w:rPr>
                <w:rFonts w:hint="eastAsia"/>
                <w:sz w:val="20"/>
              </w:rPr>
              <w:t>水利工程建设项目竣工验收</w:t>
            </w:r>
          </w:p>
        </w:tc>
        <w:tc>
          <w:tcPr>
            <w:tcW w:w="10300" w:type="dxa"/>
            <w:hideMark/>
          </w:tcPr>
          <w:p w:rsidR="00903769" w:rsidRPr="00903769" w:rsidRDefault="00903769" w:rsidP="00903769">
            <w:pPr>
              <w:spacing w:line="220" w:lineRule="atLeast"/>
              <w:jc w:val="center"/>
              <w:rPr>
                <w:sz w:val="20"/>
              </w:rPr>
            </w:pPr>
            <w:r w:rsidRPr="00903769">
              <w:rPr>
                <w:rFonts w:hint="eastAsia"/>
                <w:sz w:val="20"/>
              </w:rPr>
              <w:t>《水库大坝安全管理条例》（国务院令第</w:t>
            </w:r>
            <w:r w:rsidRPr="00903769">
              <w:rPr>
                <w:rFonts w:hint="eastAsia"/>
                <w:sz w:val="20"/>
              </w:rPr>
              <w:t>77</w:t>
            </w:r>
            <w:r w:rsidRPr="00903769">
              <w:rPr>
                <w:rFonts w:hint="eastAsia"/>
                <w:sz w:val="20"/>
              </w:rPr>
              <w:t>号，</w:t>
            </w:r>
            <w:r w:rsidRPr="00903769">
              <w:rPr>
                <w:rFonts w:hint="eastAsia"/>
                <w:sz w:val="20"/>
              </w:rPr>
              <w:t>2018</w:t>
            </w:r>
            <w:r w:rsidRPr="00903769">
              <w:rPr>
                <w:rFonts w:hint="eastAsia"/>
                <w:sz w:val="20"/>
              </w:rPr>
              <w:t>年修正）第十一条第二款：大坝竣工后，建设单位应当申请大坝主管部门组织验收。</w:t>
            </w:r>
            <w:r w:rsidRPr="00903769">
              <w:rPr>
                <w:rFonts w:hint="eastAsia"/>
                <w:sz w:val="20"/>
              </w:rPr>
              <w:br w:type="page"/>
            </w:r>
            <w:r w:rsidRPr="00903769">
              <w:rPr>
                <w:rFonts w:hint="eastAsia"/>
                <w:sz w:val="20"/>
              </w:rPr>
              <w:br w:type="page"/>
            </w:r>
            <w:r w:rsidRPr="00903769">
              <w:rPr>
                <w:rFonts w:hint="eastAsia"/>
                <w:sz w:val="20"/>
              </w:rPr>
              <w:t>《水利工程建设项目验收管理规定》（水利部令第</w:t>
            </w:r>
            <w:r w:rsidRPr="00903769">
              <w:rPr>
                <w:rFonts w:hint="eastAsia"/>
                <w:sz w:val="20"/>
              </w:rPr>
              <w:t>30</w:t>
            </w:r>
            <w:r w:rsidRPr="00903769">
              <w:rPr>
                <w:rFonts w:hint="eastAsia"/>
                <w:sz w:val="20"/>
              </w:rPr>
              <w:t>号，</w:t>
            </w:r>
            <w:r w:rsidRPr="00903769">
              <w:rPr>
                <w:rFonts w:hint="eastAsia"/>
                <w:sz w:val="20"/>
              </w:rPr>
              <w:t>2017</w:t>
            </w:r>
            <w:r w:rsidRPr="00903769">
              <w:rPr>
                <w:rFonts w:hint="eastAsia"/>
                <w:sz w:val="20"/>
              </w:rPr>
              <w:t>年修正）第二十条：国家重点水利工程建设项目，竣工验收主持单位依照国家有关规定确定。除前款规定以外，在国家确定的重要江河、湖泊建设的流域控制性工程、流域重大骨干工程建设项目，竣工验收主持单位为水利部。</w:t>
            </w:r>
          </w:p>
        </w:tc>
        <w:tc>
          <w:tcPr>
            <w:tcW w:w="940" w:type="dxa"/>
            <w:hideMark/>
          </w:tcPr>
          <w:p w:rsidR="00903769" w:rsidRPr="00903769" w:rsidRDefault="00903769" w:rsidP="00903769">
            <w:pPr>
              <w:spacing w:line="220" w:lineRule="atLeast"/>
              <w:jc w:val="center"/>
              <w:rPr>
                <w:sz w:val="20"/>
              </w:rPr>
            </w:pPr>
            <w:r w:rsidRPr="00903769">
              <w:rPr>
                <w:rFonts w:hint="eastAsia"/>
                <w:sz w:val="20"/>
              </w:rPr>
              <w:t>法定自然人</w:t>
            </w:r>
          </w:p>
        </w:tc>
        <w:tc>
          <w:tcPr>
            <w:tcW w:w="1360" w:type="dxa"/>
            <w:hideMark/>
          </w:tcPr>
          <w:p w:rsidR="00903769" w:rsidRPr="00903769" w:rsidRDefault="00903769" w:rsidP="00903769">
            <w:pPr>
              <w:spacing w:line="220" w:lineRule="atLeast"/>
              <w:jc w:val="center"/>
              <w:rPr>
                <w:sz w:val="20"/>
              </w:rPr>
            </w:pPr>
            <w:r w:rsidRPr="00903769">
              <w:rPr>
                <w:rFonts w:hint="eastAsia"/>
                <w:sz w:val="20"/>
              </w:rPr>
              <w:t>农业农村和水利局</w:t>
            </w:r>
          </w:p>
        </w:tc>
        <w:tc>
          <w:tcPr>
            <w:tcW w:w="1420" w:type="dxa"/>
            <w:hideMark/>
          </w:tcPr>
          <w:p w:rsidR="00903769" w:rsidRPr="00903769" w:rsidRDefault="00903769" w:rsidP="00903769">
            <w:pPr>
              <w:spacing w:line="220" w:lineRule="atLeast"/>
              <w:jc w:val="center"/>
              <w:rPr>
                <w:sz w:val="20"/>
              </w:rPr>
            </w:pPr>
            <w:r w:rsidRPr="00903769">
              <w:rPr>
                <w:rFonts w:hint="eastAsia"/>
                <w:sz w:val="20"/>
              </w:rPr>
              <w:t xml:space="preserve">　</w:t>
            </w:r>
          </w:p>
        </w:tc>
      </w:tr>
    </w:tbl>
    <w:p w:rsidR="00903769" w:rsidRDefault="00903769" w:rsidP="00903769">
      <w:pPr>
        <w:spacing w:line="220" w:lineRule="atLeast"/>
        <w:jc w:val="center"/>
        <w:rPr>
          <w:rFonts w:hint="eastAsia"/>
        </w:rPr>
      </w:pPr>
    </w:p>
    <w:p w:rsidR="00903769" w:rsidRDefault="00903769" w:rsidP="00903769">
      <w:pPr>
        <w:spacing w:line="220" w:lineRule="atLeast"/>
        <w:jc w:val="center"/>
        <w:rPr>
          <w:rFonts w:asciiTheme="majorEastAsia" w:eastAsiaTheme="majorEastAsia" w:hAnsiTheme="majorEastAsia" w:hint="eastAsia"/>
          <w:sz w:val="36"/>
        </w:rPr>
      </w:pPr>
    </w:p>
    <w:p w:rsidR="00903769" w:rsidRDefault="00903769" w:rsidP="00903769">
      <w:pPr>
        <w:spacing w:line="220" w:lineRule="atLeast"/>
        <w:jc w:val="center"/>
        <w:rPr>
          <w:rFonts w:asciiTheme="majorEastAsia" w:eastAsiaTheme="majorEastAsia" w:hAnsiTheme="majorEastAsia" w:hint="eastAsia"/>
          <w:sz w:val="36"/>
        </w:rPr>
      </w:pPr>
      <w:r w:rsidRPr="00903769">
        <w:rPr>
          <w:rFonts w:asciiTheme="majorEastAsia" w:eastAsiaTheme="majorEastAsia" w:hAnsiTheme="majorEastAsia" w:hint="eastAsia"/>
          <w:sz w:val="36"/>
        </w:rPr>
        <w:lastRenderedPageBreak/>
        <w:t>部门权力清单和责任清单统计表</w:t>
      </w:r>
    </w:p>
    <w:tbl>
      <w:tblPr>
        <w:tblStyle w:val="a3"/>
        <w:tblW w:w="0" w:type="auto"/>
        <w:tblLook w:val="04A0"/>
      </w:tblPr>
      <w:tblGrid>
        <w:gridCol w:w="671"/>
        <w:gridCol w:w="1203"/>
        <w:gridCol w:w="1157"/>
        <w:gridCol w:w="8094"/>
        <w:gridCol w:w="782"/>
        <w:gridCol w:w="1110"/>
        <w:gridCol w:w="1157"/>
      </w:tblGrid>
      <w:tr w:rsidR="00903769" w:rsidRPr="00903769" w:rsidTr="00903769">
        <w:trPr>
          <w:trHeight w:val="285"/>
        </w:trPr>
        <w:tc>
          <w:tcPr>
            <w:tcW w:w="14174" w:type="dxa"/>
            <w:gridSpan w:val="7"/>
            <w:noWrap/>
            <w:hideMark/>
          </w:tcPr>
          <w:p w:rsidR="00903769" w:rsidRPr="00903769" w:rsidRDefault="00903769" w:rsidP="00903769">
            <w:pPr>
              <w:spacing w:line="220" w:lineRule="atLeast"/>
              <w:jc w:val="center"/>
              <w:rPr>
                <w:rFonts w:asciiTheme="majorEastAsia" w:eastAsiaTheme="majorEastAsia" w:hAnsiTheme="majorEastAsia"/>
                <w:b/>
                <w:bCs/>
                <w:sz w:val="20"/>
              </w:rPr>
            </w:pPr>
            <w:r w:rsidRPr="00903769">
              <w:rPr>
                <w:rFonts w:asciiTheme="majorEastAsia" w:eastAsiaTheme="majorEastAsia" w:hAnsiTheme="majorEastAsia" w:hint="eastAsia"/>
                <w:b/>
                <w:bCs/>
                <w:sz w:val="20"/>
              </w:rPr>
              <w:t>职权类别：行政确认</w:t>
            </w:r>
          </w:p>
        </w:tc>
      </w:tr>
      <w:tr w:rsidR="00903769" w:rsidRPr="00903769" w:rsidTr="00903769">
        <w:trPr>
          <w:trHeight w:val="285"/>
        </w:trPr>
        <w:tc>
          <w:tcPr>
            <w:tcW w:w="671"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序号</w:t>
            </w:r>
          </w:p>
        </w:tc>
        <w:tc>
          <w:tcPr>
            <w:tcW w:w="1203"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职权名称</w:t>
            </w:r>
          </w:p>
        </w:tc>
        <w:tc>
          <w:tcPr>
            <w:tcW w:w="1157"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子项</w:t>
            </w:r>
          </w:p>
        </w:tc>
        <w:tc>
          <w:tcPr>
            <w:tcW w:w="8094"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实施依据</w:t>
            </w:r>
          </w:p>
        </w:tc>
        <w:tc>
          <w:tcPr>
            <w:tcW w:w="782"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实施对象</w:t>
            </w:r>
          </w:p>
        </w:tc>
        <w:tc>
          <w:tcPr>
            <w:tcW w:w="1110"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实施机构</w:t>
            </w:r>
          </w:p>
        </w:tc>
        <w:tc>
          <w:tcPr>
            <w:tcW w:w="1157"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其他共同实施部门</w:t>
            </w:r>
          </w:p>
        </w:tc>
      </w:tr>
      <w:tr w:rsidR="00903769" w:rsidRPr="00903769" w:rsidTr="00903769">
        <w:trPr>
          <w:trHeight w:val="285"/>
        </w:trPr>
        <w:tc>
          <w:tcPr>
            <w:tcW w:w="671"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1203"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1157"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8094"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782"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1110"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1157"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r>
      <w:tr w:rsidR="00903769" w:rsidRPr="00903769" w:rsidTr="00903769">
        <w:trPr>
          <w:trHeight w:val="6514"/>
        </w:trPr>
        <w:tc>
          <w:tcPr>
            <w:tcW w:w="671"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1</w:t>
            </w:r>
          </w:p>
        </w:tc>
        <w:tc>
          <w:tcPr>
            <w:tcW w:w="1203"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家庭承包农村土地承包经营权证</w:t>
            </w:r>
          </w:p>
        </w:tc>
        <w:tc>
          <w:tcPr>
            <w:tcW w:w="1157"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家庭承包农村土地承包经营权证</w:t>
            </w:r>
          </w:p>
        </w:tc>
        <w:tc>
          <w:tcPr>
            <w:tcW w:w="8094"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18"/>
              </w:rPr>
              <w:t>《中华人民共和国农村土地承包法》(2002年公布，2009年日修正）第十一条国务院农业、林业行政主管部门分别依照国务院规定的职责负责全国农村土地承包及承包合同管理的指导。县级以上地方人民政府农业、林业等行政主管部门分别本行政区域内农村土地承包及承包合同管理。乡（镇）人民政府负责本行政区域内农村土地承包及承包合同管理。《中华人民共和国农村土地承包经营权证管理办法》 （2003农业部令第33号）第七条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15个工作日内补正。 （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第十五条 办理农村土地承包经营权变更申请应提交以下材料：（一）变更的书面请求； （二）已变更的农村土地承包合同或其它证明材料；（三）农村土地承包经营权证原件。第十七条 农村土地承包经营权证严重污损、毁坏、遗失的，承包方应向乡（镇）人民政府农村经营管理部门申请换发、补发。 经乡（镇）人民政府农村经营管理部门审核后，报请原发证机关办理换发、补发手续。 第十八条 办理农村土地承包经营权证换发、补发手续，应以农村土地经营权证登记簿记载的内容为准。 第十九条 农村土地承包经营权证换发、补发，应当在农村土地承包经营权证上注明“换发”、“补发”字样。</w:t>
            </w:r>
          </w:p>
        </w:tc>
        <w:tc>
          <w:tcPr>
            <w:tcW w:w="782"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11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157"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7410"/>
        </w:trPr>
        <w:tc>
          <w:tcPr>
            <w:tcW w:w="671"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lastRenderedPageBreak/>
              <w:t>2</w:t>
            </w:r>
          </w:p>
        </w:tc>
        <w:tc>
          <w:tcPr>
            <w:tcW w:w="1203"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实行招标、拍卖、公开协商等方式承包农村土地的经营权证</w:t>
            </w:r>
          </w:p>
        </w:tc>
        <w:tc>
          <w:tcPr>
            <w:tcW w:w="1157"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实行招标、拍卖、公开协商等方式承包农村土地的经营权证</w:t>
            </w:r>
          </w:p>
        </w:tc>
        <w:tc>
          <w:tcPr>
            <w:tcW w:w="8094"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农村土地承包法》(2002年公布，2009年日修正）第十一条国务院农业、林业行政主管部门分别依照国务院规定的职责负责全国农村土地承包及承包合同管理的指导。县级以上地方人民政府农业、林业等行政主管部门分别本行政区域内农村土地承包及承包合同管理。乡（镇）人民政府负责本行政区域内农村土地承包及承包合同管理。《中华人民共和国农村土地承包经营权证管理办法》 （2003农业部令第33号）第七条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16个工作日内补正。 （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第十五条 办理农村土地承包经营权变更申请应提交以下材料：（一）变更的书面请求； （二）已变更的农村土地承包合同或其它证明材料；（三）农村土地承包经营权证原件。第十七条 农村土地承包经营权证严重污损、毁坏、遗失的，承包方应向乡（镇）人民政府农村经营管理部门申请换发、补发。 经乡（镇）人民政府农村经营管理部门审核后，报请原发证机关办理换发、补发手续。 第十八条 办理农村土地承包经营权证换发、补发手续，应以农村土地经营权证登记簿记载的内容为准。 第十九条 农村土地承包经营权证换发、补发，应当在农村土地承包经营权证上注明“换发”、“补发”字样。</w:t>
            </w:r>
          </w:p>
        </w:tc>
        <w:tc>
          <w:tcPr>
            <w:tcW w:w="782"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11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157"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7410"/>
        </w:trPr>
        <w:tc>
          <w:tcPr>
            <w:tcW w:w="671"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lastRenderedPageBreak/>
              <w:t>3</w:t>
            </w:r>
          </w:p>
        </w:tc>
        <w:tc>
          <w:tcPr>
            <w:tcW w:w="1203"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农村土地承包经营权变更</w:t>
            </w:r>
          </w:p>
        </w:tc>
        <w:tc>
          <w:tcPr>
            <w:tcW w:w="1157"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农村土地承包经营权变更</w:t>
            </w:r>
          </w:p>
        </w:tc>
        <w:tc>
          <w:tcPr>
            <w:tcW w:w="8094"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农村土地承包法》(2002年公布，2009年日修正）第十一条国务院农业、林业行政主管部门分别依照国务院规定的职责负责全国农村土地承包及承包合同管理的指导。县级以上地方人民政府农业、林业等行政主管部门分别本行政区域内农村土地承包及承包合同管理。乡（镇）人民政府负责本行政区域内农村土地承包及承包合同管理。《中华人民共和国农村土地承包经营权证管理办法》 （2003农业部令第33号）第七条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17个工作日内补正。 （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第十五条 办理农村土地承包经营权变更申请应提交以下材料：（一）变更的书面请求； （二）已变更的农村土地承包合同或其它证明材料；（三）农村土地承包经营权证原件。第十七条 农村土地承包经营权证严重污损、毁坏、遗失的，承包方应向乡（镇）人民政府农村经营管理部门申请换发、补发。 经乡（镇）人民政府农村经营管理部门审核后，报请原发证机关办理换发、补发手续。 第十八条 办理农村土地承包经营权证换发、补发手续，应以农村土地经营权证登记簿记载的内容为准。 第十九条 农村土地承包经营权证换发、补发，应当在农村土地承包经营权证上注明“换发”、“补发”字样。</w:t>
            </w:r>
          </w:p>
        </w:tc>
        <w:tc>
          <w:tcPr>
            <w:tcW w:w="782"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11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157"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8190"/>
        </w:trPr>
        <w:tc>
          <w:tcPr>
            <w:tcW w:w="671"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lastRenderedPageBreak/>
              <w:t>4</w:t>
            </w:r>
          </w:p>
        </w:tc>
        <w:tc>
          <w:tcPr>
            <w:tcW w:w="1203"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农村土地承包经营权证换发、补发</w:t>
            </w:r>
          </w:p>
        </w:tc>
        <w:tc>
          <w:tcPr>
            <w:tcW w:w="1157"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农村土地承包经营权证换发、补发</w:t>
            </w:r>
          </w:p>
        </w:tc>
        <w:tc>
          <w:tcPr>
            <w:tcW w:w="8094"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农村土地承包法》(2002年公布，2009年日修正）第十一条国务院农业、林业行政主管部门分别依照国务院规定的职责负责全国农村土地承包及承包合同管理的指导。县级以上地方人民政府农业、林业等行政主管部门分别本行政区域内农村土地承包及承包合同管理。乡（镇）人民政府负责本行政区域内农村土地承包及承包合同管理。《中华人民共和国农村土地承包经营权证管理办法》 （2003农业部令第33号）第七条实行家庭承包的，按下列程序颁发农村土地承包经营权证：（一）土地承包合同生效后，发包方应在30个工作日内，将土地承包方案、承包方及承包土地的详细情况、土地承包合同等材料一式两份报乡（镇）人民政府农村经营管理部门。（二）乡（镇）人民政府农村经营管理部门对发包方报送的材料予以初审。材料符合规定的，及时登记造册，由乡（镇）人民政府向县级以上地方人民政府提出颁发农村土地承包经营权证的书面申请；材料不符合规定的，应在18个工作日内补正。 （三）县级以上地方人民政府农业行政主管部门对乡（镇）人民政府报送的申请材料予以审核。申请材料符合规定的，编制农村土地承包经营权证登记簿，报同级人民政府颁发农村土地承包经营权证；申请材料不符合规定的，书面通知乡（镇）人民政府补正。第八条 实行招标、拍卖、公开协商等方式承包农村土地的，按下列程序办理农村土地承包经营权证：（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申请材料不符合规定的，书面通知申请人补正。第十五条 办理农村土地承包经营权变更申请应提交以下材料：（一）变更的书面请求； （二）已变更的农村土地承包合同或其它证明材料；（三）农村土地承包经营权证原件。第十七条 农村土地承包经营权证严重污损、毁坏、遗失的，承包方应向乡（镇）人民政府农村经营管理部门申请换发、补发。 经乡（镇）人民政府农村经营管理部门审核后，报请原发证机关办理换发、补发手续。 第十八条 办理农村土地承包经营权证换发、补发手续，应以农村土地经营权证登记簿记载的内容为准。 第十九条 农村土地承包经营权证换发、补发，应当在农村土地承包经营权证上注明“换发”、“补发”字样。</w:t>
            </w:r>
          </w:p>
        </w:tc>
        <w:tc>
          <w:tcPr>
            <w:tcW w:w="782"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11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157"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bl>
    <w:p w:rsidR="00903769" w:rsidRPr="00903769" w:rsidRDefault="00903769" w:rsidP="00903769">
      <w:pPr>
        <w:spacing w:line="220" w:lineRule="atLeast"/>
        <w:jc w:val="center"/>
        <w:rPr>
          <w:rFonts w:asciiTheme="majorEastAsia" w:eastAsiaTheme="majorEastAsia" w:hAnsiTheme="majorEastAsia" w:hint="eastAsia"/>
          <w:sz w:val="36"/>
          <w:szCs w:val="36"/>
        </w:rPr>
      </w:pPr>
      <w:r w:rsidRPr="00903769">
        <w:rPr>
          <w:rFonts w:asciiTheme="majorEastAsia" w:eastAsiaTheme="majorEastAsia" w:hAnsiTheme="majorEastAsia" w:hint="eastAsia"/>
          <w:sz w:val="36"/>
          <w:szCs w:val="36"/>
        </w:rPr>
        <w:lastRenderedPageBreak/>
        <w:t>部门权力清单和责任清单统计表</w:t>
      </w:r>
    </w:p>
    <w:tbl>
      <w:tblPr>
        <w:tblStyle w:val="a3"/>
        <w:tblW w:w="0" w:type="auto"/>
        <w:tblLook w:val="04A0"/>
      </w:tblPr>
      <w:tblGrid>
        <w:gridCol w:w="671"/>
        <w:gridCol w:w="1203"/>
        <w:gridCol w:w="1157"/>
        <w:gridCol w:w="8094"/>
        <w:gridCol w:w="782"/>
        <w:gridCol w:w="1110"/>
        <w:gridCol w:w="1157"/>
      </w:tblGrid>
      <w:tr w:rsidR="00903769" w:rsidRPr="00903769" w:rsidTr="00903769">
        <w:trPr>
          <w:trHeight w:val="285"/>
        </w:trPr>
        <w:tc>
          <w:tcPr>
            <w:tcW w:w="17720" w:type="dxa"/>
            <w:gridSpan w:val="7"/>
            <w:noWrap/>
            <w:hideMark/>
          </w:tcPr>
          <w:p w:rsidR="00903769" w:rsidRPr="00903769" w:rsidRDefault="00903769" w:rsidP="00903769">
            <w:pPr>
              <w:spacing w:line="220" w:lineRule="atLeast"/>
              <w:jc w:val="center"/>
              <w:rPr>
                <w:rFonts w:asciiTheme="majorEastAsia" w:eastAsiaTheme="majorEastAsia" w:hAnsiTheme="majorEastAsia"/>
                <w:b/>
                <w:bCs/>
                <w:sz w:val="20"/>
              </w:rPr>
            </w:pPr>
            <w:r w:rsidRPr="00903769">
              <w:rPr>
                <w:rFonts w:asciiTheme="majorEastAsia" w:eastAsiaTheme="majorEastAsia" w:hAnsiTheme="majorEastAsia" w:hint="eastAsia"/>
                <w:b/>
                <w:bCs/>
                <w:sz w:val="20"/>
              </w:rPr>
              <w:t>职权类别：行政许可</w:t>
            </w:r>
          </w:p>
        </w:tc>
      </w:tr>
      <w:tr w:rsidR="00903769" w:rsidRPr="00903769" w:rsidTr="00903769">
        <w:trPr>
          <w:trHeight w:val="285"/>
        </w:trPr>
        <w:tc>
          <w:tcPr>
            <w:tcW w:w="800"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序号</w:t>
            </w:r>
          </w:p>
        </w:tc>
        <w:tc>
          <w:tcPr>
            <w:tcW w:w="1480"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职权名称</w:t>
            </w:r>
          </w:p>
        </w:tc>
        <w:tc>
          <w:tcPr>
            <w:tcW w:w="1420"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子项</w:t>
            </w:r>
          </w:p>
        </w:tc>
        <w:tc>
          <w:tcPr>
            <w:tcW w:w="10300"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实施依据</w:t>
            </w:r>
          </w:p>
        </w:tc>
        <w:tc>
          <w:tcPr>
            <w:tcW w:w="940"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实施对象</w:t>
            </w:r>
          </w:p>
        </w:tc>
        <w:tc>
          <w:tcPr>
            <w:tcW w:w="1360"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实施机构</w:t>
            </w:r>
          </w:p>
        </w:tc>
        <w:tc>
          <w:tcPr>
            <w:tcW w:w="1420" w:type="dxa"/>
            <w:vMerge w:val="restart"/>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其他共同实施部门</w:t>
            </w:r>
          </w:p>
        </w:tc>
      </w:tr>
      <w:tr w:rsidR="00903769" w:rsidRPr="00903769" w:rsidTr="00903769">
        <w:trPr>
          <w:trHeight w:val="285"/>
        </w:trPr>
        <w:tc>
          <w:tcPr>
            <w:tcW w:w="800"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1480"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1420"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10300"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940"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1360"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c>
          <w:tcPr>
            <w:tcW w:w="1420" w:type="dxa"/>
            <w:vMerge/>
            <w:hideMark/>
          </w:tcPr>
          <w:p w:rsidR="00903769" w:rsidRPr="00903769" w:rsidRDefault="00903769" w:rsidP="00903769">
            <w:pPr>
              <w:spacing w:line="220" w:lineRule="atLeast"/>
              <w:jc w:val="center"/>
              <w:rPr>
                <w:rFonts w:asciiTheme="majorEastAsia" w:eastAsiaTheme="majorEastAsia" w:hAnsiTheme="majorEastAsia"/>
                <w:sz w:val="20"/>
              </w:rPr>
            </w:pPr>
          </w:p>
        </w:tc>
      </w:tr>
      <w:tr w:rsidR="00903769" w:rsidRPr="00903769" w:rsidTr="00903769">
        <w:trPr>
          <w:trHeight w:val="2850"/>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1</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农药经营许可</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农药经营许可证申请</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药管理条例》（1997年5月8日国务院令第216号发布，2017年3月16日予以修改）第二十四条：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20个工作日内作出审批决定。符合条件的，核发农药经营许可证；不符合条件的，书面通知申请人并说明理由。</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2850"/>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2</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农药经营许可</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农药经营许可证变更</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药管理条例》（1997年5月8日国务院令第216号发布，2017年3月16日予以修改）第二十四条：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21个工作日内作出审批决定。符合条件的，核发农药经营许可证；不符合条件的，书面通知申请人并说明理由。</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2850"/>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lastRenderedPageBreak/>
              <w:t>3</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农药经营许可</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农药经营许可证延续</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药管理条例》（1997年5月8日国务院令第216号发布，2017年3月16日予以修改）第二十四条：国家实行农药经营许可制度，但经营卫生用农药的除外。农药经营者应当具备条件，并按照国务院农业主管部门的规定向县级以上地方人民政府农业主管部门申请农药经营许可证：（一）有具备农药和病虫害防治专业知识，熟悉农药管理规定，能够指导安全合理使用农药的经营人员；（二）有与其他商品以及饮用水水源、生活区域等有效隔离的营业场所和仓储场所，并配备与所申请经营农药相适应的防护设施；（三）有与所申请经营农药相适应的质量管理、台账记录、安全防护、应急处置、仓储管理等制度。经营限制使用农药的，还应当配备相应的用药指导和病虫害防治专业技术人员，并按照所在地省、自治区、直辖市人民政府农业主管部门的规定实行定点经营。县级以上地方人民政府农业主管部门应当自受理申请之日起22个工作日内作出审批决定。符合条件的，核发农药经营许可证；不符合条件的，书面通知申请人并说明理由。</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2565"/>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4</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农作物种子生产经营许可证初审</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农作物种子生产经营许可证初审</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《中华人民共和国种子法》第三十一条 从事种子进出口业务的种子生产经营许可证，由省、自治区、直辖市人民政府农业、林业主管部门审核，国务院农业、林业主管部门核发。</w:t>
            </w:r>
            <w:r w:rsidRPr="00903769">
              <w:rPr>
                <w:rFonts w:asciiTheme="majorEastAsia" w:eastAsiaTheme="majorEastAsia" w:hAnsiTheme="majorEastAsia" w:hint="eastAsia"/>
                <w:sz w:val="20"/>
              </w:rPr>
              <w:br/>
              <w:t>从事主要农作物杂交种子及其亲本种子、林木良种种子的生产经营以及实行选育生产经营相结合，符合国务院农业、林业主管部门规定条件的种子企业的种子生产经营许可证，由生产经营者所在地县级人民政府农业、林业主管部门审核，省、自治区、直辖市人民政府农业、林业主管部门核发。</w:t>
            </w:r>
            <w:r w:rsidRPr="00903769">
              <w:rPr>
                <w:rFonts w:asciiTheme="majorEastAsia" w:eastAsiaTheme="majorEastAsia" w:hAnsiTheme="majorEastAsia" w:hint="eastAsia"/>
                <w:sz w:val="20"/>
              </w:rPr>
              <w:br/>
              <w:t>前两款规定以外的其他种子的生产经营许可证，由生产经营者所在地县级以上地方人民政府农业、林业主管部门核发。只从事非主要农作物种子和非主要林木种子生产的，不需要办理种子生产经营许可证。</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2565"/>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5</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兽药经营许可证核发</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兽药经营许可证核发（设立）</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兽药管理条例》（2004年4月9日国务院令第404号，2016年2月6日予以修改）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30个工作日内完成审查。审查合格的，发给兽药经营许可证；不合格的，应当书面通知申请人。</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2565"/>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lastRenderedPageBreak/>
              <w:t>6</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兽药经营许可证核发</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兽药经营许可证核发（变更）</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兽药管理条例》（2004年4月9日国务院令第404号，2016年2月6日予以修改）第二十二条：经营兽药的企业，应当具备下列条件：（一）与所经营的兽药相适应的兽药技术人员；（二）与所经营的兽药相适应的营业场所、设备、仓库设施；（三）与所经营的兽药相适应的质量管理机构或者人员；（四）兽药经营质量管理规范规定的其他经营条件。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县级以上地方人民政府兽医行政管理部门，应当自收到申请之日起31个工作日内完成审查。审查合格的，发给兽药经营许可证；不合格的，应当书面通知申请人。</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3135"/>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7</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动物防疫条件合格证核发</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动物饲养场、养殖小区、动物屠宰加工场所动物防疫条件合格证核发（设立）</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动物防疫法》（1997年7月3日主席令第八十七号，2015年4月24日予以修改）第二十条第一款：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w:t>
            </w:r>
            <w:r w:rsidRPr="00903769">
              <w:rPr>
                <w:rFonts w:asciiTheme="majorEastAsia" w:eastAsiaTheme="majorEastAsia" w:hAnsiTheme="majorEastAsia" w:hint="eastAsia"/>
                <w:sz w:val="20"/>
              </w:rPr>
              <w:br/>
              <w:t>《动物防疫条件审查办法》（农业部令2010年第9号）第二条：动物饲养场、养殖小区、动物隔离场所、动物屠宰加工场所以及动物和动物产品无害化处理场所，应当符合本办法规定的动物防疫条件，并取得《动物防疫条件合格证》。第三条：农业部主管全国动物防疫条件审查和监督管理工作。县级以上地方人民政府兽医主管部门主管本行政区域内的动物防疫条件审查和监督管理工作。县级以上地方人民政府设立的动物卫生监督机构负责本行政区域内的动物防疫条件监督执法工作。</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3135"/>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lastRenderedPageBreak/>
              <w:t>8</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动物防疫条件合格证核发</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动物饲养场、养殖小区、动物屠宰加工场所动物防疫条件合格证核发（变更）</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动物防疫法》（1997年7月3日主席令第八十七号，2015年4月24日予以修改）第二十条第一款：兴办动物饲养场（养殖小区）和隔离场所，动物屠宰加工场所，以及动物和动物产品无害化处理场所，应当向县级以上地方人民政府兽医主管部门提出申请，并附具相关材料。受理申请的兽医主管部门应当依照本法和《中华人民共和国行政许可法》的规定进行审查。经审查合格的，发给动物防疫条件合格证；不合格的，应当通知申请人并说明理由。</w:t>
            </w:r>
            <w:r w:rsidRPr="00903769">
              <w:rPr>
                <w:rFonts w:asciiTheme="majorEastAsia" w:eastAsiaTheme="majorEastAsia" w:hAnsiTheme="majorEastAsia" w:hint="eastAsia"/>
                <w:sz w:val="20"/>
              </w:rPr>
              <w:br/>
              <w:t>《动物防疫条件审查办法》（农业部令2010年第10号）第二条：动物饲养场、养殖小区、动物隔离场所、动物屠宰加工场所以及动物和动物产品无害化处理场所，应当符合本办法规定的动物防疫条件，并取得《动物防疫条件合格证》。第三条：农业部主管全国动物防疫条件审查和监督管理工作。县级以上地方人民政府兽医主管部门主管本行政区域内的动物防疫条件审查和监督管理工作。县级以上地方人民政府设立的动物卫生监督机构负责本行政区域内的动物防疫条件监督执法工作。</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1995"/>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9</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动物诊疗许可证核发</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动物诊疗许可证核发（设立）</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中华人民共和国动物防疫法》（1997年7月3日主席令第八十七号，2015年4月24日予以修改）第五十一条：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r w:rsidRPr="00903769">
              <w:rPr>
                <w:rFonts w:asciiTheme="majorEastAsia" w:eastAsiaTheme="majorEastAsia" w:hAnsiTheme="majorEastAsia" w:hint="eastAsia"/>
                <w:sz w:val="20"/>
              </w:rPr>
              <w:br/>
              <w:t>《动物诊疗机构管理办法》（农业部令2008年第19号发布，农业部令2017年第8号修订） 第四条：国家实行动物诊疗许可制度。从事动物诊疗活动的机构，应当取得动物诊疗许可证，并在规定的诊疗活动范围内开展动物诊疗活动。</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1995"/>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10</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动物诊疗许可证核发</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动物诊疗许可证核发（变更）</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中华人民共和国动物防疫法》（1997年7月3日主席令第八十七号，2015年4月24日予以修改）第五十一条：设立从事动物诊疗活动的机构，应当向县级以上地方人民政府兽医主管部门申请动物诊疗许可证。受理申请的兽医主管部门应当依照本法和《中华人民共和国行政许可法》的规定进行审查。经审查合格的，发给动物诊疗许可证；不合格的，应当通知申请人并说明理由。</w:t>
            </w:r>
            <w:r w:rsidRPr="00903769">
              <w:rPr>
                <w:rFonts w:asciiTheme="majorEastAsia" w:eastAsiaTheme="majorEastAsia" w:hAnsiTheme="majorEastAsia" w:hint="eastAsia"/>
                <w:sz w:val="20"/>
              </w:rPr>
              <w:br/>
              <w:t>《动物诊疗机构管理办法》（农业部令2008年第19号发布，农业部令2017年第9号修订） 第四条：国家实行动物诊疗许可制度。从事动物诊疗活动的机构，应当取得动物诊疗许可证，并在规定的诊疗活动范围内开展动物诊疗活动。</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855"/>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11</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18"/>
              </w:rPr>
            </w:pPr>
            <w:r w:rsidRPr="00903769">
              <w:rPr>
                <w:rFonts w:asciiTheme="majorEastAsia" w:eastAsiaTheme="majorEastAsia" w:hAnsiTheme="majorEastAsia" w:hint="eastAsia"/>
                <w:sz w:val="18"/>
              </w:rPr>
              <w:t>水利基建项目初步设计文件审批</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18"/>
              </w:rPr>
            </w:pPr>
            <w:r w:rsidRPr="00903769">
              <w:rPr>
                <w:rFonts w:asciiTheme="majorEastAsia" w:eastAsiaTheme="majorEastAsia" w:hAnsiTheme="majorEastAsia" w:hint="eastAsia"/>
                <w:sz w:val="18"/>
              </w:rPr>
              <w:t>水利基建项目初步设计文件审批</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《国务院对确需保留的行政审批项目设定行政许可的决定》（国务院令第412号）附件第172项“水利基建项目初步设计文件审批。实施机关：县级以上人民政府水行政主管部门。”</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1425"/>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lastRenderedPageBreak/>
              <w:t>12</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河道管理范围内有关活动（不含河道采砂）审批</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河道管理范围内有关活动（不含河道采砂）审批</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河道管理条例》（国务院令第3号，根据2011年1月8日《国务院关于废止和修改部分行政法规的决定》修订）第二十五条：“在河道管理范围内进行下列活动，必须报经河道主管机关批准；涉及其他部门的，由河道主管机关会同有关部门批准：（一）采砂、取土、淘金、弃置砂石或者淤泥；（二）爆破、钻探、挖筑鱼塘；（三）在河道滩地存放物料、修建厂房或者其他建筑设施；（四）在河道滩地开采地下资源及进行考古发掘。”</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r w:rsidR="00903769" w:rsidRPr="00903769" w:rsidTr="00903769">
        <w:trPr>
          <w:trHeight w:val="1710"/>
        </w:trPr>
        <w:tc>
          <w:tcPr>
            <w:tcW w:w="8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13</w:t>
            </w:r>
          </w:p>
        </w:tc>
        <w:tc>
          <w:tcPr>
            <w:tcW w:w="148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生产建设项目水土保持方案审批</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生产建设项目水土保持方案审批</w:t>
            </w:r>
          </w:p>
        </w:tc>
        <w:tc>
          <w:tcPr>
            <w:tcW w:w="1030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中华人民共和国水土保持法》（主席令第39号，自2011年3月1日起施行）第二十五条：“在山区、丘陵区、风沙区以及水土保持规划确定的容易发生水土流失的其他区域开办可能造成水土流失的生产建设项目，生产建设单位应当编制水土保持方案，报县级以上人民政府水行政主管部门审批，并按照经批准的水土保持方案，采取水土流失预防和治理措施。”第二十六条：“依法应当编制水土保持方案的生产建设项目，生产建设单位未编制水土保持方案或者水土保持方案未经水行政主管部门批准的，生产建设项目不得开工建设。”</w:t>
            </w:r>
          </w:p>
        </w:tc>
        <w:tc>
          <w:tcPr>
            <w:tcW w:w="94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法定自然人</w:t>
            </w:r>
          </w:p>
        </w:tc>
        <w:tc>
          <w:tcPr>
            <w:tcW w:w="136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农业农村和水利局</w:t>
            </w:r>
          </w:p>
        </w:tc>
        <w:tc>
          <w:tcPr>
            <w:tcW w:w="1420" w:type="dxa"/>
            <w:hideMark/>
          </w:tcPr>
          <w:p w:rsidR="00903769" w:rsidRPr="00903769" w:rsidRDefault="00903769" w:rsidP="00903769">
            <w:pPr>
              <w:spacing w:line="220" w:lineRule="atLeast"/>
              <w:jc w:val="center"/>
              <w:rPr>
                <w:rFonts w:asciiTheme="majorEastAsia" w:eastAsiaTheme="majorEastAsia" w:hAnsiTheme="majorEastAsia"/>
                <w:sz w:val="20"/>
              </w:rPr>
            </w:pPr>
            <w:r w:rsidRPr="00903769">
              <w:rPr>
                <w:rFonts w:asciiTheme="majorEastAsia" w:eastAsiaTheme="majorEastAsia" w:hAnsiTheme="majorEastAsia" w:hint="eastAsia"/>
                <w:sz w:val="20"/>
              </w:rPr>
              <w:t xml:space="preserve">　</w:t>
            </w:r>
          </w:p>
        </w:tc>
      </w:tr>
    </w:tbl>
    <w:p w:rsidR="00903769" w:rsidRPr="00903769" w:rsidRDefault="00903769" w:rsidP="00903769">
      <w:pPr>
        <w:spacing w:line="220" w:lineRule="atLeast"/>
        <w:jc w:val="center"/>
        <w:rPr>
          <w:rFonts w:asciiTheme="majorEastAsia" w:eastAsiaTheme="majorEastAsia" w:hAnsiTheme="majorEastAsia"/>
          <w:sz w:val="20"/>
        </w:rPr>
      </w:pPr>
    </w:p>
    <w:sectPr w:rsidR="00903769" w:rsidRPr="00903769" w:rsidSect="00903769">
      <w:pgSz w:w="16838" w:h="11906" w:orient="landscape"/>
      <w:pgMar w:top="1800" w:right="1440" w:bottom="180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rawingGridHorizontalSpacing w:val="110"/>
  <w:displayHorizontalDrawingGridEvery w:val="2"/>
  <w:characterSpacingControl w:val="doNotCompress"/>
  <w:compat>
    <w:useFELayout/>
  </w:compat>
  <w:rsids>
    <w:rsidRoot w:val="00D31D50"/>
    <w:rsid w:val="00323B43"/>
    <w:rsid w:val="003D37D8"/>
    <w:rsid w:val="00426133"/>
    <w:rsid w:val="004358AB"/>
    <w:rsid w:val="0087239C"/>
    <w:rsid w:val="008B7726"/>
    <w:rsid w:val="00903769"/>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3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016859">
      <w:bodyDiv w:val="1"/>
      <w:marLeft w:val="0"/>
      <w:marRight w:val="0"/>
      <w:marTop w:val="0"/>
      <w:marBottom w:val="0"/>
      <w:divBdr>
        <w:top w:val="none" w:sz="0" w:space="0" w:color="auto"/>
        <w:left w:val="none" w:sz="0" w:space="0" w:color="auto"/>
        <w:bottom w:val="none" w:sz="0" w:space="0" w:color="auto"/>
        <w:right w:val="none" w:sz="0" w:space="0" w:color="auto"/>
      </w:divBdr>
    </w:div>
    <w:div w:id="393626832">
      <w:bodyDiv w:val="1"/>
      <w:marLeft w:val="0"/>
      <w:marRight w:val="0"/>
      <w:marTop w:val="0"/>
      <w:marBottom w:val="0"/>
      <w:divBdr>
        <w:top w:val="none" w:sz="0" w:space="0" w:color="auto"/>
        <w:left w:val="none" w:sz="0" w:space="0" w:color="auto"/>
        <w:bottom w:val="none" w:sz="0" w:space="0" w:color="auto"/>
        <w:right w:val="none" w:sz="0" w:space="0" w:color="auto"/>
      </w:divBdr>
    </w:div>
    <w:div w:id="400565840">
      <w:bodyDiv w:val="1"/>
      <w:marLeft w:val="0"/>
      <w:marRight w:val="0"/>
      <w:marTop w:val="0"/>
      <w:marBottom w:val="0"/>
      <w:divBdr>
        <w:top w:val="none" w:sz="0" w:space="0" w:color="auto"/>
        <w:left w:val="none" w:sz="0" w:space="0" w:color="auto"/>
        <w:bottom w:val="none" w:sz="0" w:space="0" w:color="auto"/>
        <w:right w:val="none" w:sz="0" w:space="0" w:color="auto"/>
      </w:divBdr>
    </w:div>
    <w:div w:id="420025705">
      <w:bodyDiv w:val="1"/>
      <w:marLeft w:val="0"/>
      <w:marRight w:val="0"/>
      <w:marTop w:val="0"/>
      <w:marBottom w:val="0"/>
      <w:divBdr>
        <w:top w:val="none" w:sz="0" w:space="0" w:color="auto"/>
        <w:left w:val="none" w:sz="0" w:space="0" w:color="auto"/>
        <w:bottom w:val="none" w:sz="0" w:space="0" w:color="auto"/>
        <w:right w:val="none" w:sz="0" w:space="0" w:color="auto"/>
      </w:divBdr>
    </w:div>
    <w:div w:id="557865614">
      <w:bodyDiv w:val="1"/>
      <w:marLeft w:val="0"/>
      <w:marRight w:val="0"/>
      <w:marTop w:val="0"/>
      <w:marBottom w:val="0"/>
      <w:divBdr>
        <w:top w:val="none" w:sz="0" w:space="0" w:color="auto"/>
        <w:left w:val="none" w:sz="0" w:space="0" w:color="auto"/>
        <w:bottom w:val="none" w:sz="0" w:space="0" w:color="auto"/>
        <w:right w:val="none" w:sz="0" w:space="0" w:color="auto"/>
      </w:divBdr>
    </w:div>
    <w:div w:id="710573378">
      <w:bodyDiv w:val="1"/>
      <w:marLeft w:val="0"/>
      <w:marRight w:val="0"/>
      <w:marTop w:val="0"/>
      <w:marBottom w:val="0"/>
      <w:divBdr>
        <w:top w:val="none" w:sz="0" w:space="0" w:color="auto"/>
        <w:left w:val="none" w:sz="0" w:space="0" w:color="auto"/>
        <w:bottom w:val="none" w:sz="0" w:space="0" w:color="auto"/>
        <w:right w:val="none" w:sz="0" w:space="0" w:color="auto"/>
      </w:divBdr>
    </w:div>
    <w:div w:id="747384976">
      <w:bodyDiv w:val="1"/>
      <w:marLeft w:val="0"/>
      <w:marRight w:val="0"/>
      <w:marTop w:val="0"/>
      <w:marBottom w:val="0"/>
      <w:divBdr>
        <w:top w:val="none" w:sz="0" w:space="0" w:color="auto"/>
        <w:left w:val="none" w:sz="0" w:space="0" w:color="auto"/>
        <w:bottom w:val="none" w:sz="0" w:space="0" w:color="auto"/>
        <w:right w:val="none" w:sz="0" w:space="0" w:color="auto"/>
      </w:divBdr>
    </w:div>
    <w:div w:id="1073158867">
      <w:bodyDiv w:val="1"/>
      <w:marLeft w:val="0"/>
      <w:marRight w:val="0"/>
      <w:marTop w:val="0"/>
      <w:marBottom w:val="0"/>
      <w:divBdr>
        <w:top w:val="none" w:sz="0" w:space="0" w:color="auto"/>
        <w:left w:val="none" w:sz="0" w:space="0" w:color="auto"/>
        <w:bottom w:val="none" w:sz="0" w:space="0" w:color="auto"/>
        <w:right w:val="none" w:sz="0" w:space="0" w:color="auto"/>
      </w:divBdr>
    </w:div>
    <w:div w:id="1230111143">
      <w:bodyDiv w:val="1"/>
      <w:marLeft w:val="0"/>
      <w:marRight w:val="0"/>
      <w:marTop w:val="0"/>
      <w:marBottom w:val="0"/>
      <w:divBdr>
        <w:top w:val="none" w:sz="0" w:space="0" w:color="auto"/>
        <w:left w:val="none" w:sz="0" w:space="0" w:color="auto"/>
        <w:bottom w:val="none" w:sz="0" w:space="0" w:color="auto"/>
        <w:right w:val="none" w:sz="0" w:space="0" w:color="auto"/>
      </w:divBdr>
    </w:div>
    <w:div w:id="1809977368">
      <w:bodyDiv w:val="1"/>
      <w:marLeft w:val="0"/>
      <w:marRight w:val="0"/>
      <w:marTop w:val="0"/>
      <w:marBottom w:val="0"/>
      <w:divBdr>
        <w:top w:val="none" w:sz="0" w:space="0" w:color="auto"/>
        <w:left w:val="none" w:sz="0" w:space="0" w:color="auto"/>
        <w:bottom w:val="none" w:sz="0" w:space="0" w:color="auto"/>
        <w:right w:val="none" w:sz="0" w:space="0" w:color="auto"/>
      </w:divBdr>
    </w:div>
    <w:div w:id="1859663525">
      <w:bodyDiv w:val="1"/>
      <w:marLeft w:val="0"/>
      <w:marRight w:val="0"/>
      <w:marTop w:val="0"/>
      <w:marBottom w:val="0"/>
      <w:divBdr>
        <w:top w:val="none" w:sz="0" w:space="0" w:color="auto"/>
        <w:left w:val="none" w:sz="0" w:space="0" w:color="auto"/>
        <w:bottom w:val="none" w:sz="0" w:space="0" w:color="auto"/>
        <w:right w:val="none" w:sz="0" w:space="0" w:color="auto"/>
      </w:divBdr>
    </w:div>
    <w:div w:id="1962762319">
      <w:bodyDiv w:val="1"/>
      <w:marLeft w:val="0"/>
      <w:marRight w:val="0"/>
      <w:marTop w:val="0"/>
      <w:marBottom w:val="0"/>
      <w:divBdr>
        <w:top w:val="none" w:sz="0" w:space="0" w:color="auto"/>
        <w:left w:val="none" w:sz="0" w:space="0" w:color="auto"/>
        <w:bottom w:val="none" w:sz="0" w:space="0" w:color="auto"/>
        <w:right w:val="none" w:sz="0" w:space="0" w:color="auto"/>
      </w:divBdr>
    </w:div>
    <w:div w:id="2099980229">
      <w:bodyDiv w:val="1"/>
      <w:marLeft w:val="0"/>
      <w:marRight w:val="0"/>
      <w:marTop w:val="0"/>
      <w:marBottom w:val="0"/>
      <w:divBdr>
        <w:top w:val="none" w:sz="0" w:space="0" w:color="auto"/>
        <w:left w:val="none" w:sz="0" w:space="0" w:color="auto"/>
        <w:bottom w:val="none" w:sz="0" w:space="0" w:color="auto"/>
        <w:right w:val="none" w:sz="0" w:space="0" w:color="auto"/>
      </w:divBdr>
    </w:div>
    <w:div w:id="211978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1693</Words>
  <Characters>9653</Characters>
  <Application>Microsoft Office Word</Application>
  <DocSecurity>0</DocSecurity>
  <Lines>80</Lines>
  <Paragraphs>22</Paragraphs>
  <ScaleCrop>false</ScaleCrop>
  <Company/>
  <LinksUpToDate>false</LinksUpToDate>
  <CharactersWithSpaces>11324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2022-02-15T03:25:00Z</dcterms:modified>
</cp:coreProperties>
</file>