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44"/>
          <w:szCs w:val="44"/>
        </w:rPr>
      </w:pPr>
      <w:r>
        <w:rPr>
          <w:rFonts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新华区财政局</w:t>
      </w:r>
      <w:r>
        <w:rPr>
          <w:color w:val="000000"/>
          <w:spacing w:val="0"/>
          <w:w w:val="100"/>
          <w:position w:val="0"/>
          <w:sz w:val="44"/>
          <w:szCs w:val="44"/>
        </w:rPr>
        <w:t>行政</w:t>
      </w:r>
      <w:bookmarkStart w:id="9" w:name="_GoBack"/>
      <w:bookmarkEnd w:id="9"/>
      <w:r>
        <w:rPr>
          <w:color w:val="000000"/>
          <w:spacing w:val="0"/>
          <w:w w:val="100"/>
          <w:position w:val="0"/>
          <w:sz w:val="44"/>
          <w:szCs w:val="44"/>
        </w:rPr>
        <w:t>执法投诉举报制度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第一条为加强和完善行政执法监督工作，促进依法行政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依法理财，维护公民、法人和其他组织的合法权益，结合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新华区财政局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实际，制定本制度。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第二条本制度所称行政执法投诉举报（以下简称投诉举报），是指公民、法人或者其他组织（以下简称投诉举报人）认为财政部门及其行政执法人员的行政执法行为违法或者不当，依法提出的申诉和举报。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负责行政执法投诉举报办理工作的协调和监督。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局机关各科室（局属各单位）具体办理本科室（单位）职责范围内的投诉举报事项，并明确受理投诉举报事项的具体工作人员。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第四条投诉举报办理工作应当坚持依法、公正、高效、便民的原则。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第五条投诉举报事项受理范围：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320" w:line="560" w:lineRule="exact"/>
        <w:ind w:left="0" w:right="0" w:firstLine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不履行法定职责的；</w:t>
      </w:r>
      <w:bookmarkStart w:id="0" w:name="bookmark1"/>
    </w:p>
    <w:bookmarkEnd w:id="0"/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320" w:line="560" w:lineRule="exact"/>
        <w:ind w:left="0" w:leftChars="0" w:right="0" w:rightChars="0" w:firstLine="50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超越法定职权实施行政执法行为的；</w:t>
      </w:r>
      <w:bookmarkStart w:id="1" w:name="bookmark2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320" w:line="560" w:lineRule="exact"/>
        <w:ind w:left="50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三）行政执法行为违反法定程序的；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2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四）认定事实不清，处理结果显失公平的；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3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五）其他违法规或者不当的行政执法行为。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投诉举报事项符合前款规定的受理范围但不属于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新华区财政局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管辖的，应当告知投诉举报人向有关部门投诉举报。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第六条有下列情形之一的，不予受理：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4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投诉举报人向行政复议机关提出行政复议申请，行政复议机关已经受理或者已有复议结果的；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5" w:name="bookmark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投诉举报人向人民法院提起行政诉讼，人民法院已经受理或者已有诉讼结果的；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6" w:name="bookmark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投诉举报人向监察机关举报，监察机关已经受理或者已有处理结果的；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7" w:name="bookmark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投诉举报人向信访部门反映，信访部门已经受理或者已有答复意见的；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41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8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其他依法不予受理的情形。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应当自收到投诉举报之日起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个工作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内对投诉举报的内容进行审核，决定是否受理。不予受理的，应当向投诉举报人说明理由。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2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第八条受理投诉举报后，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应当填写投诉举报事项登记表。投诉举报事项登记表应当载明投诉举报人的姓名、地址、联系方式，被投诉举报的机关科室（局属单位）、县（市、区）财政部门及其行政执法人员，以及投诉举报的事项和理由等内容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第九条受理对机关科室（局属单位）、县（市、区）财政部门及其行政执法人员投诉举报的，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可以转交有管辖权的机关科室（局属单位）、县（市、区）财政部门办理，并告知投诉举报人。必要时经局长同意，也可以直接办理。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直接办理的投诉举报事项，需要被投诉举报的机关科室（局属单位）及其行政执法人员协助调查的，机关科室（局属单位）及其行政执法人员应当予以配合。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第十条机关科室（局属单位）受理投诉举报后，应当确定不少于两名调查人员，对投诉举报事项进行调查，收集相关证据，并听取行政执法人员的陈述和申辩。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调查人员与投诉举报事项或者投诉举报人、被投诉举报人有直接利害关系的，应当回避。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第十一条机关科室（局属单位）应当自受理之日起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日内办结投诉举报事项。情况复杂，不能在规定期限内办结的，经局长同意，可以适当延长。但延长期限最多不得超过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2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第十二条调查终结后，机关科室（局属单位）应当及时告知投诉举报人调查处理结果。有关材料应当按照档案管理规定及时整理归档。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2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第十三条机关科室（局属单位）及其办理投诉举报的人员应当严格遵守保密规定，保守国家秘密、商业秘密和个人隐私，不得打击报复投诉举报人。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四条机关科室（局属单位）及其工作人员在办理投诉举报中打击报复投诉举报人，或者玩忽职守、徇私舞弊、滥用职权，造成不良影响和后果的，依照有关法律、法规和规定，给予行政处分；构成犯罪的，依法移送相关部门处理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第十五条通过网络、公示栏等公示行政执法投诉举报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途径，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保障行政执法投诉举报渠道畅通。（投诉举报电话：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0375-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3997879；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联系地址：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平顶山市湛河区沁园西路中段新华区财政局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；邮政编码：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467000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）。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第十六条本制度由平顶山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新华区财政局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负责解释。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0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第十七条本制度自印发之日起施行。</w:t>
      </w:r>
    </w:p>
    <w:sectPr>
      <w:footerReference r:id="rId5" w:type="default"/>
      <w:footnotePr>
        <w:numFmt w:val="decimal"/>
      </w:footnotePr>
      <w:pgSz w:w="11907" w:h="16840"/>
      <w:pgMar w:top="2098" w:right="1474" w:bottom="1984" w:left="1588" w:header="0" w:footer="1400" w:gutter="0"/>
      <w:pgNumType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34450020</wp:posOffset>
              </wp:positionV>
              <wp:extent cx="4160520" cy="15240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052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6552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平顶山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eastAsia="zh-CN"/>
                            </w:rPr>
                            <w:t>新华区财政局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办公室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2020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日印发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52.8pt;margin-top:2712.6pt;height:12pt;width:327.6pt;mso-position-horizontal-relative:page;mso-position-vertical-relative:page;z-index:-251656192;mso-width-relative:page;mso-height-relative:page;" filled="f" stroked="f" coordsize="21600,21600" o:gfxdata="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pfobq2QAAAA0BAAAP&#10;AAAAAAAAAAEAIAAAACIAAABkcnMvZG93bnJldi54bWxQSwECFAAUAAAACACHTuJAFwL5N6UBAABk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6552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平顶山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eastAsia="zh-CN"/>
                      </w:rPr>
                      <w:t>新华区财政局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办公室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2020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年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月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日印发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34823400</wp:posOffset>
              </wp:positionV>
              <wp:extent cx="48768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6—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52.2pt;margin-top:2742pt;height:8.4pt;width:38.4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r5L7H1wAAAA0B&#10;AAAPAAAAAAAAAAEAIAAAACIAAABkcnMvZG93bnJldi54bWxQSwECFAAUAAAACACHTuJAUlu5iKoB&#10;AABv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6—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34385250</wp:posOffset>
              </wp:positionV>
              <wp:extent cx="445008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5008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6" o:spid="_x0000_s1026" o:spt="32" type="#_x0000_t32" style="position:absolute;left:0pt;margin-left:40.8pt;margin-top:2707.5pt;height:0pt;width:350.4pt;mso-position-horizontal-relative:page;mso-position-vertical-relative:page;z-index:-251657216;mso-width-relative:page;mso-height-relative:page;" filled="f" stroked="t" coordsize="21600,21600" o:gfxdata="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4FOh6tcAAAAMAQAADwAA&#10;AAAAAAABACAAAAAiAAAAZHJzL2Rvd25yZXYueG1sUEsBAhQAFAAAAAgAh07iQE0LQhqlAQAAWgMA&#10;AA4AAAAAAAAAAQAgAAAAJgEAAGRycy9lMm9Eb2MueG1sUEsFBgAAAAAGAAYAWQEAAD0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62D88"/>
    <w:multiLevelType w:val="singleLevel"/>
    <w:tmpl w:val="1C662D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37344B"/>
    <w:rsid w:val="1AA12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仿宋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rFonts w:ascii="宋体" w:hAnsi="宋体" w:eastAsia="宋体" w:cs="宋体"/>
      <w:color w:val="EB1C1E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  <w:spacing w:after="940"/>
      <w:ind w:firstLine="200"/>
    </w:pPr>
    <w:rPr>
      <w:rFonts w:ascii="宋体" w:hAnsi="宋体" w:eastAsia="宋体" w:cs="宋体"/>
      <w:color w:val="EB1C1E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680" w:line="552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b/>
      <w:bCs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spacing w:after="2540" w:line="394" w:lineRule="auto"/>
      <w:ind w:right="200" w:firstLine="100"/>
      <w:jc w:val="right"/>
    </w:pPr>
    <w:rPr>
      <w:b/>
      <w:bCs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1506</Words>
  <Characters>1524</Characters>
  <TotalTime>4</TotalTime>
  <ScaleCrop>false</ScaleCrop>
  <LinksUpToDate>false</LinksUpToDate>
  <CharactersWithSpaces>1529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2022-04-12T11:48:00Z</dcterms:created>
  <dc:creator>wcp39</dc:creator>
  <cp:lastModifiedBy>悟</cp:lastModifiedBy>
  <dcterms:modified xsi:type="dcterms:W3CDTF">2022-04-19T01:23:09Z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F50B2B15EA744A61A365C1BA3BAD959D</vt:lpwstr>
  </property>
</Properties>
</file>