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2C1" w:rsidRDefault="00E052C1" w:rsidP="00E052C1">
      <w:pPr>
        <w:pStyle w:val="p0"/>
        <w:widowControl w:val="0"/>
        <w:tabs>
          <w:tab w:val="left" w:pos="7020"/>
        </w:tabs>
        <w:spacing w:line="580" w:lineRule="exact"/>
        <w:ind w:rightChars="639" w:right="1342"/>
        <w:rPr>
          <w:rFonts w:ascii="黑体" w:eastAsia="黑体" w:hAnsi="黑体" w:hint="eastAsia"/>
          <w:sz w:val="32"/>
        </w:rPr>
      </w:pPr>
      <w:r>
        <w:rPr>
          <w:rFonts w:ascii="黑体" w:eastAsia="黑体" w:hAnsi="黑体" w:hint="eastAsia"/>
          <w:sz w:val="32"/>
        </w:rPr>
        <w:t>附  件</w:t>
      </w:r>
    </w:p>
    <w:p w:rsidR="00E052C1" w:rsidRDefault="00E052C1" w:rsidP="00E052C1">
      <w:pPr>
        <w:pStyle w:val="p0"/>
        <w:widowControl w:val="0"/>
        <w:tabs>
          <w:tab w:val="left" w:pos="7020"/>
        </w:tabs>
        <w:spacing w:line="580" w:lineRule="exact"/>
        <w:ind w:rightChars="639" w:right="1342"/>
        <w:rPr>
          <w:rFonts w:ascii="华文中宋" w:eastAsia="华文中宋" w:hAnsi="华文中宋" w:hint="eastAsia"/>
          <w:b/>
          <w:bCs/>
          <w:color w:val="000000"/>
          <w:sz w:val="36"/>
          <w:szCs w:val="36"/>
        </w:rPr>
      </w:pPr>
    </w:p>
    <w:p w:rsidR="00E052C1" w:rsidRDefault="00E052C1" w:rsidP="00E052C1">
      <w:pPr>
        <w:spacing w:line="700" w:lineRule="exact"/>
        <w:jc w:val="center"/>
        <w:rPr>
          <w:rFonts w:ascii="方正小标宋简体" w:eastAsia="方正小标宋简体" w:hAnsi="华文中宋" w:hint="eastAsia"/>
          <w:color w:val="000000"/>
          <w:sz w:val="44"/>
          <w:szCs w:val="44"/>
        </w:rPr>
      </w:pPr>
      <w:r>
        <w:rPr>
          <w:rFonts w:ascii="方正小标宋简体" w:eastAsia="方正小标宋简体" w:hAnsi="华文中宋" w:hint="eastAsia"/>
          <w:color w:val="000000"/>
          <w:sz w:val="44"/>
          <w:szCs w:val="44"/>
        </w:rPr>
        <w:t>新华区人民政府工作部门权力清单动态调整事项目录</w:t>
      </w:r>
    </w:p>
    <w:p w:rsidR="00E052C1" w:rsidRDefault="00E052C1" w:rsidP="00E052C1">
      <w:pPr>
        <w:spacing w:line="400" w:lineRule="exact"/>
        <w:jc w:val="center"/>
        <w:rPr>
          <w:rFonts w:ascii="仿宋_GB2312" w:eastAsia="仿宋_GB2312" w:hAnsi="仿宋_GB2312" w:cs="仿宋_GB2312" w:hint="eastAsia"/>
          <w:sz w:val="32"/>
          <w:szCs w:val="32"/>
        </w:rPr>
      </w:pPr>
    </w:p>
    <w:tbl>
      <w:tblPr>
        <w:tblW w:w="12802" w:type="dxa"/>
        <w:jc w:val="center"/>
        <w:tblLook w:val="0000"/>
      </w:tblPr>
      <w:tblGrid>
        <w:gridCol w:w="675"/>
        <w:gridCol w:w="952"/>
        <w:gridCol w:w="1791"/>
        <w:gridCol w:w="1255"/>
        <w:gridCol w:w="1505"/>
        <w:gridCol w:w="6624"/>
      </w:tblGrid>
      <w:tr w:rsidR="00E052C1" w:rsidTr="008D7DA7">
        <w:trPr>
          <w:trHeight w:val="750"/>
          <w:tblHeader/>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黑体" w:eastAsia="黑体" w:hAnsi="黑体" w:cs="宋体"/>
                <w:color w:val="000000"/>
                <w:kern w:val="0"/>
                <w:szCs w:val="21"/>
              </w:rPr>
            </w:pPr>
            <w:r>
              <w:rPr>
                <w:rFonts w:ascii="黑体" w:eastAsia="黑体" w:hAnsi="黑体" w:cs="宋体" w:hint="eastAsia"/>
                <w:color w:val="000000"/>
                <w:kern w:val="0"/>
                <w:szCs w:val="21"/>
              </w:rPr>
              <w:t>序号</w:t>
            </w:r>
          </w:p>
        </w:tc>
        <w:tc>
          <w:tcPr>
            <w:tcW w:w="9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黑体" w:eastAsia="黑体" w:hAnsi="黑体" w:cs="宋体"/>
                <w:color w:val="000000"/>
                <w:kern w:val="0"/>
                <w:szCs w:val="21"/>
              </w:rPr>
            </w:pPr>
            <w:r>
              <w:rPr>
                <w:rFonts w:ascii="黑体" w:eastAsia="黑体" w:hAnsi="黑体" w:cs="宋体" w:hint="eastAsia"/>
                <w:color w:val="000000"/>
                <w:kern w:val="0"/>
                <w:szCs w:val="21"/>
              </w:rPr>
              <w:t>部 门</w:t>
            </w:r>
          </w:p>
        </w:tc>
        <w:tc>
          <w:tcPr>
            <w:tcW w:w="17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黑体" w:eastAsia="黑体" w:hAnsi="黑体" w:cs="宋体"/>
                <w:color w:val="000000"/>
                <w:kern w:val="0"/>
                <w:szCs w:val="21"/>
              </w:rPr>
            </w:pPr>
            <w:r>
              <w:rPr>
                <w:rFonts w:ascii="黑体" w:eastAsia="黑体" w:hAnsi="黑体" w:cs="宋体" w:hint="eastAsia"/>
                <w:color w:val="000000"/>
                <w:kern w:val="0"/>
                <w:szCs w:val="21"/>
              </w:rPr>
              <w:t>项目名称</w:t>
            </w:r>
          </w:p>
        </w:tc>
        <w:tc>
          <w:tcPr>
            <w:tcW w:w="12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黑体" w:eastAsia="黑体" w:hAnsi="黑体" w:cs="宋体"/>
                <w:color w:val="000000"/>
                <w:kern w:val="0"/>
                <w:szCs w:val="21"/>
              </w:rPr>
            </w:pPr>
            <w:r>
              <w:rPr>
                <w:rFonts w:ascii="黑体" w:eastAsia="黑体" w:hAnsi="黑体" w:cs="宋体" w:hint="eastAsia"/>
                <w:color w:val="000000"/>
                <w:kern w:val="0"/>
                <w:szCs w:val="21"/>
              </w:rPr>
              <w:t>权力类型</w:t>
            </w:r>
          </w:p>
        </w:tc>
        <w:tc>
          <w:tcPr>
            <w:tcW w:w="15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黑体" w:eastAsia="黑体" w:hAnsi="黑体" w:cs="宋体"/>
                <w:color w:val="000000"/>
                <w:kern w:val="0"/>
                <w:szCs w:val="21"/>
              </w:rPr>
            </w:pPr>
            <w:r>
              <w:rPr>
                <w:rFonts w:ascii="黑体" w:eastAsia="黑体" w:hAnsi="黑体" w:cs="宋体" w:hint="eastAsia"/>
                <w:color w:val="000000"/>
                <w:kern w:val="0"/>
                <w:szCs w:val="21"/>
              </w:rPr>
              <w:t>处理方式</w:t>
            </w:r>
          </w:p>
        </w:tc>
        <w:tc>
          <w:tcPr>
            <w:tcW w:w="6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黑体" w:eastAsia="黑体" w:hAnsi="黑体" w:cs="宋体"/>
                <w:color w:val="000000"/>
                <w:kern w:val="0"/>
                <w:szCs w:val="21"/>
              </w:rPr>
            </w:pPr>
            <w:r>
              <w:rPr>
                <w:rFonts w:ascii="黑体" w:eastAsia="黑体" w:hAnsi="黑体" w:cs="宋体" w:hint="eastAsia"/>
                <w:color w:val="000000"/>
                <w:kern w:val="0"/>
                <w:szCs w:val="21"/>
              </w:rPr>
              <w:t>备        注</w:t>
            </w:r>
          </w:p>
        </w:tc>
      </w:tr>
      <w:tr w:rsidR="00E052C1" w:rsidTr="008D7DA7">
        <w:trPr>
          <w:trHeight w:val="298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1</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新华区卫健委</w:t>
            </w:r>
          </w:p>
        </w:tc>
        <w:tc>
          <w:tcPr>
            <w:tcW w:w="1791"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三孩生育审批</w:t>
            </w:r>
          </w:p>
        </w:tc>
        <w:tc>
          <w:tcPr>
            <w:tcW w:w="125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行政许可</w:t>
            </w:r>
          </w:p>
        </w:tc>
        <w:tc>
          <w:tcPr>
            <w:tcW w:w="150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划转到焦店镇、各街道（管委会）</w:t>
            </w:r>
          </w:p>
        </w:tc>
        <w:tc>
          <w:tcPr>
            <w:tcW w:w="6624"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河南省人民代表大会常务委员会关于修改《河南省人口与计划生育条例》的决定，河南省人口与计划生育条例目录第三章生育调节第十三条公民有生育的权利，也有依法实行计划生育的义务。夫妻双方在实行计划生育中负有共同的责任。第十四条、提倡适龄婚育、优生优育。一对夫妻（含再婚夫妻）可以生育三个子女。已生育三个子女，有子女经鉴定为残疾的夫妻，可以再生育一个子女。第十五条、夫妻生育子女，由家庭自主安排生育，实行生育登记服务制度。生育子女的夫妻，可以通过生育服务登记平台向卫生健康主管部门办理生育登记，免费领取生育登记信息单。</w:t>
            </w:r>
          </w:p>
        </w:tc>
      </w:tr>
      <w:tr w:rsidR="00E052C1" w:rsidTr="008D7DA7">
        <w:trPr>
          <w:trHeight w:val="232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2</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新华区残联</w:t>
            </w:r>
          </w:p>
        </w:tc>
        <w:tc>
          <w:tcPr>
            <w:tcW w:w="1791"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河南省按比例就业安排残疾人就业审核</w:t>
            </w:r>
          </w:p>
        </w:tc>
        <w:tc>
          <w:tcPr>
            <w:tcW w:w="125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行政确认</w:t>
            </w:r>
          </w:p>
        </w:tc>
        <w:tc>
          <w:tcPr>
            <w:tcW w:w="1505"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保留并更名为中残联全国残疾人按比例就业情况联网认证</w:t>
            </w:r>
          </w:p>
        </w:tc>
        <w:tc>
          <w:tcPr>
            <w:tcW w:w="6624"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残疾人就业保障金征收使用管理办法》（财税〔2015〕72号）第二章，第九条保障金由用人单位所在地的地方税务局负责征收。第十二条残疾人就业服务机构应当配合保障金征收机关做好保障金征收工作。用人单位应按规定时限如实向残疾人就业服务机构申报上年本单位安排的残疾人就业人数。未在规定时限申报的，视为未安排残疾人就业。残疾人就业服务机构进行审核后，确定用人单位实际安排的残疾人就业人数，并及时提供给保障金征收机关。</w:t>
            </w:r>
          </w:p>
        </w:tc>
      </w:tr>
      <w:tr w:rsidR="00E052C1" w:rsidTr="008D7DA7">
        <w:trPr>
          <w:trHeight w:val="128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lastRenderedPageBreak/>
              <w:t>3</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新华区人社局</w:t>
            </w:r>
          </w:p>
        </w:tc>
        <w:tc>
          <w:tcPr>
            <w:tcW w:w="1791"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养老保险费利息及滞纳金征收</w:t>
            </w:r>
          </w:p>
        </w:tc>
        <w:tc>
          <w:tcPr>
            <w:tcW w:w="1255"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行政强制类</w:t>
            </w:r>
          </w:p>
        </w:tc>
        <w:tc>
          <w:tcPr>
            <w:tcW w:w="1505"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取消</w:t>
            </w:r>
          </w:p>
        </w:tc>
        <w:tc>
          <w:tcPr>
            <w:tcW w:w="6624"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根据《中华人民共和国社会保险法》、《社会保险费征缴暂行条例》（国务院令第259号）等法律法规，</w:t>
            </w:r>
            <w:smartTag w:uri="urn:schemas-microsoft-com:office:smarttags" w:element="chsdate">
              <w:smartTagPr>
                <w:attr w:name="IsROCDate" w:val="False"/>
                <w:attr w:name="IsLunarDate" w:val="False"/>
                <w:attr w:name="Day" w:val="1"/>
                <w:attr w:name="Month" w:val="1"/>
                <w:attr w:name="Year" w:val="2017"/>
              </w:smartTagPr>
              <w:r>
                <w:rPr>
                  <w:rFonts w:ascii="仿宋_GB2312" w:eastAsia="仿宋_GB2312" w:hAnsi="宋体" w:cs="宋体" w:hint="eastAsia"/>
                  <w:color w:val="000000"/>
                  <w:kern w:val="0"/>
                  <w:szCs w:val="21"/>
                </w:rPr>
                <w:t>2017年1月1日起</w:t>
              </w:r>
            </w:smartTag>
            <w:r>
              <w:rPr>
                <w:rFonts w:ascii="仿宋_GB2312" w:eastAsia="仿宋_GB2312" w:hAnsi="宋体" w:cs="宋体" w:hint="eastAsia"/>
                <w:color w:val="000000"/>
                <w:kern w:val="0"/>
                <w:szCs w:val="21"/>
              </w:rPr>
              <w:t>，河南省行政区域内社会保险费改由地方税务机关统一征收。新华区机关事业单位养老保险费征收工作自2017年1月1日期移交至新华区税务局征收，是否征收滞纳金由区税务局相关文件决定。</w:t>
            </w:r>
          </w:p>
        </w:tc>
      </w:tr>
      <w:tr w:rsidR="00E052C1" w:rsidTr="008D7DA7">
        <w:trPr>
          <w:trHeight w:val="112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4</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新华区人社局</w:t>
            </w:r>
          </w:p>
        </w:tc>
        <w:tc>
          <w:tcPr>
            <w:tcW w:w="1791"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社会保险费征收</w:t>
            </w:r>
          </w:p>
        </w:tc>
        <w:tc>
          <w:tcPr>
            <w:tcW w:w="1255"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行政征收</w:t>
            </w:r>
          </w:p>
        </w:tc>
        <w:tc>
          <w:tcPr>
            <w:tcW w:w="1505"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取消</w:t>
            </w:r>
          </w:p>
        </w:tc>
        <w:tc>
          <w:tcPr>
            <w:tcW w:w="6624"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根据《中华人民共和国社会保险法》、《社会保险费征缴暂行条例》（国务院令第259号）等法律法规，河南省文件规定，</w:t>
            </w:r>
            <w:smartTag w:uri="urn:schemas-microsoft-com:office:smarttags" w:element="chsdate">
              <w:smartTagPr>
                <w:attr w:name="IsROCDate" w:val="False"/>
                <w:attr w:name="IsLunarDate" w:val="False"/>
                <w:attr w:name="Day" w:val="1"/>
                <w:attr w:name="Month" w:val="1"/>
                <w:attr w:name="Year" w:val="2017"/>
              </w:smartTagPr>
              <w:r>
                <w:rPr>
                  <w:rFonts w:ascii="仿宋_GB2312" w:eastAsia="仿宋_GB2312" w:hAnsi="宋体" w:cs="宋体" w:hint="eastAsia"/>
                  <w:color w:val="000000"/>
                  <w:kern w:val="0"/>
                  <w:szCs w:val="21"/>
                </w:rPr>
                <w:t>2017年1月1日起</w:t>
              </w:r>
            </w:smartTag>
            <w:r>
              <w:rPr>
                <w:rFonts w:ascii="仿宋_GB2312" w:eastAsia="仿宋_GB2312" w:hAnsi="宋体" w:cs="宋体" w:hint="eastAsia"/>
                <w:color w:val="000000"/>
                <w:kern w:val="0"/>
                <w:szCs w:val="21"/>
              </w:rPr>
              <w:t>，河南省行政区域内社会保险费改由地方税务机关统一征收。新华区机关事业单位养老保险费征收工作自2017年1月1日期移交至新华区税务局征收。</w:t>
            </w:r>
          </w:p>
        </w:tc>
      </w:tr>
      <w:tr w:rsidR="00E052C1" w:rsidTr="008D7DA7">
        <w:trPr>
          <w:trHeight w:val="1221"/>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5</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新华区人社局</w:t>
            </w:r>
          </w:p>
        </w:tc>
        <w:tc>
          <w:tcPr>
            <w:tcW w:w="1791"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城镇职工工伤保险金支付</w:t>
            </w:r>
          </w:p>
        </w:tc>
        <w:tc>
          <w:tcPr>
            <w:tcW w:w="1255"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行政给付</w:t>
            </w:r>
          </w:p>
        </w:tc>
        <w:tc>
          <w:tcPr>
            <w:tcW w:w="1505"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实施机构变更</w:t>
            </w:r>
          </w:p>
        </w:tc>
        <w:tc>
          <w:tcPr>
            <w:tcW w:w="6624"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根据平新编〔2020〕11号文件要求，将区医保局所属事业单位社会医疗保险中心代办的工伤保险相关事务性工作交由区人力资源和社会保障局所属事业单位社会保险事务服务中心承担。</w:t>
            </w:r>
          </w:p>
        </w:tc>
      </w:tr>
      <w:tr w:rsidR="00E052C1" w:rsidTr="008D7DA7">
        <w:trPr>
          <w:trHeight w:val="183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6</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新华区人社局</w:t>
            </w:r>
          </w:p>
        </w:tc>
        <w:tc>
          <w:tcPr>
            <w:tcW w:w="1791"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城乡居民社会养老保险费征收</w:t>
            </w:r>
          </w:p>
        </w:tc>
        <w:tc>
          <w:tcPr>
            <w:tcW w:w="125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行政征收</w:t>
            </w:r>
          </w:p>
        </w:tc>
        <w:tc>
          <w:tcPr>
            <w:tcW w:w="150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取消</w:t>
            </w:r>
          </w:p>
        </w:tc>
        <w:tc>
          <w:tcPr>
            <w:tcW w:w="6624"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根据《中华人民共和国社会保险法》、《社会保险费征缴暂行条例》（国务院令第259号）等法律法规，河南省文件规定，</w:t>
            </w:r>
            <w:smartTag w:uri="urn:schemas-microsoft-com:office:smarttags" w:element="chsdate">
              <w:smartTagPr>
                <w:attr w:name="IsROCDate" w:val="False"/>
                <w:attr w:name="IsLunarDate" w:val="False"/>
                <w:attr w:name="Day" w:val="1"/>
                <w:attr w:name="Month" w:val="1"/>
                <w:attr w:name="Year" w:val="2017"/>
              </w:smartTagPr>
              <w:r>
                <w:rPr>
                  <w:rFonts w:ascii="仿宋_GB2312" w:eastAsia="仿宋_GB2312" w:hAnsi="宋体" w:cs="宋体" w:hint="eastAsia"/>
                  <w:color w:val="000000"/>
                  <w:kern w:val="0"/>
                  <w:szCs w:val="21"/>
                </w:rPr>
                <w:t>2017年1月1日起</w:t>
              </w:r>
            </w:smartTag>
            <w:r>
              <w:rPr>
                <w:rFonts w:ascii="仿宋_GB2312" w:eastAsia="仿宋_GB2312" w:hAnsi="宋体" w:cs="宋体" w:hint="eastAsia"/>
                <w:color w:val="000000"/>
                <w:kern w:val="0"/>
                <w:szCs w:val="21"/>
              </w:rPr>
              <w:t>，河南省行政区域内社会保险费改由地方税务机关统一征收。新华区机关事业单位养老保险费征收工作自2017年1月2日期移交至新华区税务局征收。</w:t>
            </w:r>
          </w:p>
        </w:tc>
      </w:tr>
      <w:tr w:rsidR="00E052C1" w:rsidTr="008D7DA7">
        <w:trPr>
          <w:trHeight w:val="118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7</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新华区人社局</w:t>
            </w: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初级职称评价</w:t>
            </w:r>
          </w:p>
        </w:tc>
        <w:tc>
          <w:tcPr>
            <w:tcW w:w="125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行政许可</w:t>
            </w:r>
          </w:p>
        </w:tc>
        <w:tc>
          <w:tcPr>
            <w:tcW w:w="1505"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实施依据变更</w:t>
            </w:r>
          </w:p>
        </w:tc>
        <w:tc>
          <w:tcPr>
            <w:tcW w:w="6624"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《河南省人力资源和社会保障厅关于完善我省专业技术人员职称初定有关问题的通知》（豫人社规〔2021〕7号）（该通知从</w:t>
            </w:r>
            <w:smartTag w:uri="urn:schemas-microsoft-com:office:smarttags" w:element="chsdate">
              <w:smartTagPr>
                <w:attr w:name="IsROCDate" w:val="False"/>
                <w:attr w:name="IsLunarDate" w:val="False"/>
                <w:attr w:name="Day" w:val="22"/>
                <w:attr w:name="Month" w:val="10"/>
                <w:attr w:name="Year" w:val="2021"/>
              </w:smartTagPr>
              <w:r>
                <w:rPr>
                  <w:rFonts w:ascii="仿宋_GB2312" w:eastAsia="仿宋_GB2312" w:hAnsi="宋体" w:cs="宋体" w:hint="eastAsia"/>
                  <w:color w:val="000000"/>
                  <w:kern w:val="0"/>
                  <w:szCs w:val="21"/>
                </w:rPr>
                <w:t>2021年10月22日起</w:t>
              </w:r>
            </w:smartTag>
            <w:r>
              <w:rPr>
                <w:rFonts w:ascii="仿宋_GB2312" w:eastAsia="仿宋_GB2312" w:hAnsi="宋体" w:cs="宋体" w:hint="eastAsia"/>
                <w:color w:val="000000"/>
                <w:kern w:val="0"/>
                <w:szCs w:val="21"/>
              </w:rPr>
              <w:t>执行）。</w:t>
            </w:r>
          </w:p>
        </w:tc>
      </w:tr>
      <w:tr w:rsidR="00E052C1" w:rsidTr="008D7DA7">
        <w:trPr>
          <w:trHeight w:val="7637"/>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lastRenderedPageBreak/>
              <w:t>8</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新华区人社局</w:t>
            </w:r>
          </w:p>
        </w:tc>
        <w:tc>
          <w:tcPr>
            <w:tcW w:w="1791"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失业保险待遇</w:t>
            </w:r>
          </w:p>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支付</w:t>
            </w:r>
          </w:p>
        </w:tc>
        <w:tc>
          <w:tcPr>
            <w:tcW w:w="125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行政给付</w:t>
            </w:r>
          </w:p>
        </w:tc>
        <w:tc>
          <w:tcPr>
            <w:tcW w:w="1505"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责任事项变更</w:t>
            </w:r>
          </w:p>
        </w:tc>
        <w:tc>
          <w:tcPr>
            <w:tcW w:w="6624"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spacing w:line="260" w:lineRule="exact"/>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一、《中华人民共和国社会保险法》第四十五条：失业人员符合下列条件的，从失业保险基金中领取失业保险金：（一）失业前用人单位和本人已经缴纳失业保险费满一年的；（二）非因本人意愿中断就业的；（三）已办理失业登记，并有求职要求的。第五十条：用人单位应当及时为失业人员出具终止或者解除劳动关系的证明，并将失业人员的名单自终止或者解除劳动关系之日起十五日内告知社会保险经办机构。失业人员应当持本单位为其出具的终止或者解除劳动关系的证明，及时到指定的公共就业服务机构办理失业登记。失业人员凭失业登记证明和个人身份证明，到社会保险经办机构办理领取失业保险金的手续。失业保险金领取期限自办理失业登记之日起计算。</w:t>
            </w:r>
          </w:p>
          <w:p w:rsidR="00E052C1" w:rsidRDefault="00E052C1" w:rsidP="008D7DA7">
            <w:pPr>
              <w:spacing w:line="260" w:lineRule="exact"/>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 xml:space="preserve">二、《失业保险条例》（中华人民共和国国务院令第258号）第十条：失业保险基金用于下列支出：（一）失业保险金。第十四条：具备下列条件的失业人员，可以领取失业保险金：（一）按照规定参加失业保险，所在单位和本人已按照规定履行缴费义务满1年；（二）非因本人意愿中断就业的；（三）已办理失业登记，并有求职要求的。第十六条：城镇企业事业单位应当及时为失业人员出具终止或者解除劳动关系的证明，告知其按照规定享受失业保险待遇的权利，并将失业人员的名单自终止或者解除劳动关系之日起7日内报社会保险经办机构备案。城镇企业事业单位职工失业后，应当持本单位为其出具的终止或者解除劳动关系的证明，及时到指定的社会保险经办机构办理失业登记。失业保险金自办理失业登记之日起计算。 </w:t>
            </w:r>
          </w:p>
          <w:p w:rsidR="00E052C1" w:rsidRDefault="00E052C1" w:rsidP="008D7DA7">
            <w:pPr>
              <w:spacing w:line="260" w:lineRule="exact"/>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三、《失业保险金申领发放办法》（中华人民共和国劳动和社会保障部令第8号）第四条：失业人员符合《条例》第十四条规定的，可以申请领取失业保险费，享受其他失业保险待遇。其中，非因本人意愿中断就业的是指下列人员：（一）终止劳动合同的；（二）被用人单位解除劳动合同的；（三）被用人单位开除、除名和辞退的；（四）根据《中华人民共和国劳动法》第三十二条第二、三项与用人单位解除劳动合同的；（五）法律、行政法规另有规定的。</w:t>
            </w:r>
          </w:p>
        </w:tc>
      </w:tr>
      <w:tr w:rsidR="00E052C1" w:rsidTr="008D7DA7">
        <w:trPr>
          <w:trHeight w:val="2186"/>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lastRenderedPageBreak/>
              <w:t>9</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新华区住建局</w:t>
            </w:r>
          </w:p>
        </w:tc>
        <w:tc>
          <w:tcPr>
            <w:tcW w:w="1791"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“物业管理区域备案”变更为“物业区域备案（新建项目）”</w:t>
            </w:r>
          </w:p>
        </w:tc>
        <w:tc>
          <w:tcPr>
            <w:tcW w:w="1255"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行政许可变更为其他职权</w:t>
            </w:r>
          </w:p>
        </w:tc>
        <w:tc>
          <w:tcPr>
            <w:tcW w:w="1505"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项目名称变更，权力类型变更</w:t>
            </w:r>
          </w:p>
        </w:tc>
        <w:tc>
          <w:tcPr>
            <w:tcW w:w="6624"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spacing w:line="280" w:lineRule="exact"/>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河南省物业管理条例》第十二条：新建物业出售前，建设单位应当将划定的物业管理区域向物业所在地的县(市、区)人民政府物业管理行政主管部门备案，并在商品房买卖合同中明示。已投入使用但尚未划定物业管理区域的，由物业所在地县(市、区)人民政府物业管理行政主管部门会同街道办事处、乡镇人民政府征求业主意见后予以划定。</w:t>
            </w:r>
          </w:p>
          <w:p w:rsidR="00E052C1" w:rsidRDefault="00E052C1" w:rsidP="008D7DA7">
            <w:pPr>
              <w:spacing w:line="280" w:lineRule="exact"/>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物业管理区域划定后确需调整的，应当征得专有部分占建筑物总面积过半数的业主且占总人数过半数的业主同意。</w:t>
            </w:r>
          </w:p>
        </w:tc>
      </w:tr>
      <w:tr w:rsidR="00E052C1" w:rsidTr="008D7DA7">
        <w:trPr>
          <w:trHeight w:val="239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10</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新华区住建局</w:t>
            </w:r>
          </w:p>
        </w:tc>
        <w:tc>
          <w:tcPr>
            <w:tcW w:w="1791"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物业服务合同</w:t>
            </w:r>
          </w:p>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备案</w:t>
            </w:r>
          </w:p>
        </w:tc>
        <w:tc>
          <w:tcPr>
            <w:tcW w:w="1255"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行政许可变更为其他职权</w:t>
            </w:r>
          </w:p>
        </w:tc>
        <w:tc>
          <w:tcPr>
            <w:tcW w:w="1505"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权力类型变更</w:t>
            </w:r>
          </w:p>
        </w:tc>
        <w:tc>
          <w:tcPr>
            <w:tcW w:w="6624"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spacing w:line="280" w:lineRule="exact"/>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《河南省物业管理条例》第五十三条：业主大会选聘物业服务企业的，业主委员会应当与物业服务企业签订物业服务合同。鼓励业主大会采用招投标方式选聘物业服务企业。物业服务合同应当对物业</w:t>
            </w:r>
            <w:r>
              <w:rPr>
                <w:rFonts w:ascii="仿宋_GB2312" w:eastAsia="仿宋_GB2312" w:hAnsi="宋体" w:cs="宋体" w:hint="eastAsia"/>
                <w:color w:val="000000"/>
                <w:spacing w:val="-6"/>
                <w:kern w:val="0"/>
                <w:szCs w:val="21"/>
              </w:rPr>
              <w:t>服务事项、服务标准、服务费用、收费方式、双方的权利义务、物业管理用房、专项维修资金的使用、合同期限、违约责任等内容进行约定。</w:t>
            </w:r>
          </w:p>
          <w:p w:rsidR="00E052C1" w:rsidRDefault="00E052C1" w:rsidP="008D7DA7">
            <w:pPr>
              <w:spacing w:line="280" w:lineRule="exact"/>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物业服务企业应当自物业服务合同签订之日起十五日内，将服务合同报送物业所在地县（市、区）人民政府物业管理行政主管部门和街道办事处、乡镇人民政府备案。</w:t>
            </w:r>
          </w:p>
        </w:tc>
      </w:tr>
      <w:tr w:rsidR="00E052C1" w:rsidTr="008D7DA7">
        <w:trPr>
          <w:trHeight w:val="3103"/>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11</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新华区住建局</w:t>
            </w:r>
          </w:p>
        </w:tc>
        <w:tc>
          <w:tcPr>
            <w:tcW w:w="1791"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物业承接查验</w:t>
            </w:r>
          </w:p>
        </w:tc>
        <w:tc>
          <w:tcPr>
            <w:tcW w:w="1255"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行政许可变更为其他职权</w:t>
            </w:r>
          </w:p>
        </w:tc>
        <w:tc>
          <w:tcPr>
            <w:tcW w:w="1505"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权力类型变更</w:t>
            </w:r>
          </w:p>
        </w:tc>
        <w:tc>
          <w:tcPr>
            <w:tcW w:w="6624"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spacing w:line="280" w:lineRule="exact"/>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河南省物业管理条例》第四十八条：承接新建物业前，物业服务企业应当与建设单位按照国家相关规定和前期物业服务合同的约定，共同对物业的共用部位、共用设施设备进行检查验收。物业承接查验应当邀请县（市、区）人民政府物业管理行政主管部门、业主代表参加，可以聘请相关专业机构协助进行。</w:t>
            </w:r>
          </w:p>
          <w:p w:rsidR="00E052C1" w:rsidRDefault="00E052C1" w:rsidP="008D7DA7">
            <w:pPr>
              <w:spacing w:line="280" w:lineRule="exact"/>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第五十条：物业服务企业应当自物业交接后三十日内，向物业所在地县（市、区）人民政府物业管理行政主管部门办理备案手续。承接查验资料属于全体业主所有，物业服务企业应当建立档案，妥善保管，业主有权免费查询。物业服务合同终止的，原物业服务企业应当及时将物业承接查验档案向业主委员会移交完毕。</w:t>
            </w:r>
          </w:p>
        </w:tc>
      </w:tr>
      <w:tr w:rsidR="00E052C1" w:rsidTr="008D7DA7">
        <w:trPr>
          <w:trHeight w:val="7637"/>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lastRenderedPageBreak/>
              <w:t>12</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新华区住建局</w:t>
            </w:r>
          </w:p>
        </w:tc>
        <w:tc>
          <w:tcPr>
            <w:tcW w:w="1791"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“公租房的审核”变更为“公共租赁住房申报工作”</w:t>
            </w:r>
          </w:p>
        </w:tc>
        <w:tc>
          <w:tcPr>
            <w:tcW w:w="1255"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行政许可变更为其他职权</w:t>
            </w:r>
          </w:p>
        </w:tc>
        <w:tc>
          <w:tcPr>
            <w:tcW w:w="1505"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项目名称变更，权力类型变更</w:t>
            </w:r>
          </w:p>
        </w:tc>
        <w:tc>
          <w:tcPr>
            <w:tcW w:w="6624"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《平顶山市公共租赁住房管理办法》（平政办〔2017〕55号）有关规定：受理及审校。公租房实行日常申报、日常审校、集中公示、集中分配制度。受理及审核实行属地管理。</w:t>
            </w:r>
          </w:p>
          <w:p w:rsidR="00E052C1" w:rsidRDefault="00E052C1" w:rsidP="008D7DA7">
            <w:pPr>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1. 街道初审。申请人申报资料齐全，焦店镇、各街道（管委会）应及时受理并初审，定期将申请人申请资料和电子汇总表上报区住房保障部门。</w:t>
            </w:r>
          </w:p>
          <w:p w:rsidR="00E052C1" w:rsidRDefault="00E052C1" w:rsidP="008D7DA7">
            <w:pPr>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2. 区住房保障部门审核。区住房保障部门收到焦店镇、各街道（管委会）投送的申报资料，应及时审校、公示，定期将符合保障条件的家庭汇总后以文件形式上报市住房保障部门。</w:t>
            </w:r>
          </w:p>
        </w:tc>
      </w:tr>
      <w:tr w:rsidR="00E052C1" w:rsidTr="008D7DA7">
        <w:trPr>
          <w:trHeight w:val="6702"/>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lastRenderedPageBreak/>
              <w:t>13</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新华区文化广电和旅游局</w:t>
            </w:r>
          </w:p>
        </w:tc>
        <w:tc>
          <w:tcPr>
            <w:tcW w:w="1791"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非学科类校外培训机构审批（文化艺术类）</w:t>
            </w:r>
          </w:p>
        </w:tc>
        <w:tc>
          <w:tcPr>
            <w:tcW w:w="125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行政许可</w:t>
            </w:r>
          </w:p>
        </w:tc>
        <w:tc>
          <w:tcPr>
            <w:tcW w:w="150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新增</w:t>
            </w:r>
          </w:p>
        </w:tc>
        <w:tc>
          <w:tcPr>
            <w:tcW w:w="6624"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spacing w:line="280" w:lineRule="exact"/>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根据《中共中央办公厅 国务院办公厅印发&lt;关于进一步减轻义务教育阶段学生作业负担和校外培训负担的意见》“四、坚持从严治理，全面规范校外培训行为13.坚持从严审批机构。各地不再审批新的面向义务教育阶段学生的学科类校外培训机构，现有学科类培训机构统一登记为非营利性机构。对原备案的线上学科类培训机构，改为审批制。各省（自治区、直辖市）要对已备案的线上学科类培训机构全面排查，并按标准重新办理审批手续。未通过审批的，取消原有备案登记和互联网信息服务业务经营许可证（ICP）。对非学科类培训机构，各地要区分体育、文化艺术、科技等类别，明确相应主管部门，分类制定标准、严格审批。依法依规严肃查处不具备相应资质条件、未经审批多址开展培训的校外培训机构。学科类培训机构一律不得上市融资，严禁资本化运作；上市公司不得通过股票市场融资投资学科类培训机构，不得通过发行股份或支付现金等方式购买学科类培训机构资产；外资不得通过兼并收购、受托经营、加盟连锁、利用可变利益实体等方式控股或参股学科类培训机构。已违规的，要进行清理整治。”</w:t>
            </w:r>
          </w:p>
          <w:p w:rsidR="00E052C1" w:rsidRDefault="00E052C1" w:rsidP="008D7DA7">
            <w:pPr>
              <w:spacing w:line="280" w:lineRule="exact"/>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根据《中共河南省委办公厅 河南省人民政府办公厅印发&lt;关于进一步减轻义务教育阶段学生作业负担和校外培训负担的措施&gt;的通知》（豫办〔2021〕28号）“五、严格校外培训机构审批15.坚持从严审批机构。不再审批新的面向义务教育阶段学生的学科类校外培训机构，现有学科类培训机构统一登记为非营利性机构。对原备案的线上学科类培训机构，改为审批制；对已备案的线上学科类培训机构，按标准重新办理审批手续。对非学科类培训机构，要区分体育、文化艺术、科技等类别，由省体育、文化和旅游、科技等部门分类制定设置标准、进行前置审批。对现有的非学科类培训机构，须按新标准重新办理审批手续。严格执行双重管理登记制度，实行“先许可、后登记”制度。”</w:t>
            </w:r>
          </w:p>
        </w:tc>
      </w:tr>
      <w:tr w:rsidR="00E052C1" w:rsidTr="008D7DA7">
        <w:trPr>
          <w:trHeight w:val="634"/>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spacing w:line="280" w:lineRule="exact"/>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14</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spacing w:line="280" w:lineRule="exact"/>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新华区教体局</w:t>
            </w: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spacing w:line="280" w:lineRule="exact"/>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民办学校办学许可</w:t>
            </w:r>
          </w:p>
        </w:tc>
        <w:tc>
          <w:tcPr>
            <w:tcW w:w="125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spacing w:line="280" w:lineRule="exact"/>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行政许可</w:t>
            </w:r>
          </w:p>
        </w:tc>
        <w:tc>
          <w:tcPr>
            <w:tcW w:w="150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spacing w:line="280" w:lineRule="exact"/>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 xml:space="preserve">取消 </w:t>
            </w:r>
          </w:p>
        </w:tc>
        <w:tc>
          <w:tcPr>
            <w:tcW w:w="6624"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spacing w:line="280" w:lineRule="exact"/>
              <w:ind w:firstLineChars="200" w:firstLine="420"/>
              <w:rPr>
                <w:rFonts w:ascii="仿宋_GB2312" w:eastAsia="仿宋_GB2312" w:hAnsi="宋体" w:cs="宋体" w:hint="eastAsia"/>
                <w:color w:val="000000"/>
                <w:kern w:val="0"/>
                <w:szCs w:val="21"/>
              </w:rPr>
            </w:pPr>
            <w:smartTag w:uri="urn:schemas-microsoft-com:office:smarttags" w:element="chsdate">
              <w:smartTagPr>
                <w:attr w:name="IsROCDate" w:val="False"/>
                <w:attr w:name="IsLunarDate" w:val="False"/>
                <w:attr w:name="Day" w:val="16"/>
                <w:attr w:name="Month" w:val="5"/>
                <w:attr w:name="Year" w:val="2021"/>
              </w:smartTagPr>
              <w:r>
                <w:rPr>
                  <w:rFonts w:ascii="仿宋_GB2312" w:eastAsia="仿宋_GB2312" w:hAnsi="宋体" w:cs="宋体" w:hint="eastAsia"/>
                  <w:color w:val="000000"/>
                  <w:kern w:val="0"/>
                  <w:szCs w:val="21"/>
                </w:rPr>
                <w:t>2021年5月16日</w:t>
              </w:r>
            </w:smartTag>
            <w:r>
              <w:rPr>
                <w:rFonts w:ascii="仿宋_GB2312" w:eastAsia="仿宋_GB2312" w:hAnsi="宋体" w:cs="宋体" w:hint="eastAsia"/>
                <w:color w:val="000000"/>
                <w:kern w:val="0"/>
                <w:szCs w:val="21"/>
              </w:rPr>
              <w:t>《中共中央办公厅  国务院办公厅印发&lt;关于规范民办义务教育发展的意见&gt;的通知》(厅字〔2021〕15号）</w:t>
            </w:r>
          </w:p>
        </w:tc>
      </w:tr>
      <w:tr w:rsidR="00E052C1" w:rsidTr="008D7DA7">
        <w:trPr>
          <w:trHeight w:val="7793"/>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lastRenderedPageBreak/>
              <w:t>15</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新华区退役军人事务局</w:t>
            </w:r>
          </w:p>
        </w:tc>
        <w:tc>
          <w:tcPr>
            <w:tcW w:w="1791"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定期补助人员（参战参试人员、60岁老烈士子女、60岁农村籍退役士兵、在乡老复员军人、带病回乡退伍军人）身份资格审查认定</w:t>
            </w:r>
          </w:p>
        </w:tc>
        <w:tc>
          <w:tcPr>
            <w:tcW w:w="125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行政确认</w:t>
            </w:r>
          </w:p>
        </w:tc>
        <w:tc>
          <w:tcPr>
            <w:tcW w:w="150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 xml:space="preserve">新增 </w:t>
            </w:r>
          </w:p>
        </w:tc>
        <w:tc>
          <w:tcPr>
            <w:tcW w:w="6624"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spacing w:line="240" w:lineRule="exact"/>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法规】《民政部关于落实优抚对象和部分军队退役人员有关政策的实施意见》（民发〔2007〕102号）（一）围绕民政部门牵头负责的调整部分优抚对象抚恤补助标准，向部分参战退役人员、原8023部队及其他参加核试验军队退役人员发放生活补助。1.落实对烈属（含因公牺牲军人遗属、病故军人遗属）、残疾军人（含伤残人民警察、伤残国家机关工作人员、伤残民兵民工）、在乡退伍红军老战士、在乡复员军人、带病回乡退伍军人提高抚恤补助标准工作。2.对部分参战退役人员进行核查认定、数据统计，做好在农村的和城镇无工作单位且生活困难的参战退役人员生活补助发放工作。3.对原8023部队退役人员中不符合评残和享受带病回乡退伍军人生活补助条件，但患病或生活困难的农村和城镇无工作单位的人员，发放生活补助；对其他参加核试验军队退役人员进行核查认定、组织体检、数据统计，落实相关抚恤补助待遇。（二）参战退役人员及参加核试验退役人员的核查认定工作按照属地原则组织实施，由参战、参试人员本人户籍地村（居）委会、乡（镇、街道）和县（市、区）民政部门统一组织调查、申报和审定。</w:t>
            </w:r>
          </w:p>
          <w:p w:rsidR="00E052C1" w:rsidRDefault="00E052C1" w:rsidP="008D7DA7">
            <w:pPr>
              <w:spacing w:line="240" w:lineRule="exact"/>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法规】民政部、财政部《关于给部分农村籍退役士兵发放老年生活补助的通知》（民办发〔2011〕11号）第二条：核查认定工作按照属地管理原则实施，由本人户籍地村居（委）会乡（镇、街道）和县（市、区）民政部门统一调查、审定和申报。</w:t>
            </w:r>
          </w:p>
          <w:p w:rsidR="00E052C1" w:rsidRDefault="00E052C1" w:rsidP="008D7DA7">
            <w:pPr>
              <w:spacing w:line="240" w:lineRule="exact"/>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【行政法规】《民政部办公厅 财政部办公厅 &lt;关于落实给部分烈士子女发放定期生活补助政策的实施意见&gt;》（民发〔2012〕3号）第一条：政策实施对象人员范围为，居住在农村和城镇无工作单位、18周岁以前没有享受过定期抚恤金待遇且年满60周岁的烈士子女和建国前错杀后错杀被平反人员子女。</w:t>
            </w:r>
          </w:p>
          <w:p w:rsidR="00E052C1" w:rsidRDefault="00E052C1" w:rsidP="008D7DA7">
            <w:pPr>
              <w:spacing w:line="240" w:lineRule="exact"/>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【行政法规】《军人抚恤优待条例》2011年（国务院、中央军委令第602号） 第四十四条　复员军人生活困难的，按照规定的条件，由当地人民政府民政部门给予定期定量补助，逐步改善其生活条件。</w:t>
            </w:r>
          </w:p>
          <w:p w:rsidR="00E052C1" w:rsidRDefault="00E052C1" w:rsidP="008D7DA7">
            <w:pPr>
              <w:spacing w:line="240" w:lineRule="exact"/>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 xml:space="preserve">【行政法规】《民政部关于进一步规范带病回乡退伍军人认定有关问题的通知》民函(2012)255号 一、申请享受带病回乡退伍军人待遇，应当由当事人向县级人民政府民政部门提出，由设区的市级以上地方人民政府民政部门审批。具体审批机关由省级人民政府民政部门规定。 </w:t>
            </w:r>
          </w:p>
        </w:tc>
      </w:tr>
      <w:tr w:rsidR="00E052C1" w:rsidTr="008D7DA7">
        <w:trPr>
          <w:trHeight w:val="1733"/>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lastRenderedPageBreak/>
              <w:t>16</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新华区退役军人事务局</w:t>
            </w:r>
          </w:p>
        </w:tc>
        <w:tc>
          <w:tcPr>
            <w:tcW w:w="1791"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义务兵家庭优待金给付</w:t>
            </w:r>
          </w:p>
        </w:tc>
        <w:tc>
          <w:tcPr>
            <w:tcW w:w="125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行政给付</w:t>
            </w:r>
          </w:p>
        </w:tc>
        <w:tc>
          <w:tcPr>
            <w:tcW w:w="150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新增</w:t>
            </w:r>
          </w:p>
        </w:tc>
        <w:tc>
          <w:tcPr>
            <w:tcW w:w="6624"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【行政法规】《军人抚恤优待条例》</w:t>
            </w:r>
          </w:p>
          <w:p w:rsidR="00E052C1" w:rsidRDefault="00E052C1" w:rsidP="008D7DA7">
            <w:pPr>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第三十三条 义务兵服现役期间，其家庭由当地人民政府发给优待金或者给予其他优待，优待标准不低于当地平均生活水平。</w:t>
            </w:r>
          </w:p>
        </w:tc>
      </w:tr>
      <w:tr w:rsidR="00E052C1" w:rsidTr="008D7DA7">
        <w:trPr>
          <w:trHeight w:val="1854"/>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17</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新华区退役军人事务局</w:t>
            </w:r>
          </w:p>
        </w:tc>
        <w:tc>
          <w:tcPr>
            <w:tcW w:w="1791"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 xml:space="preserve">对在退役军人工作中作出突出贡献的单位和个人给予表彰、奖励 </w:t>
            </w:r>
          </w:p>
        </w:tc>
        <w:tc>
          <w:tcPr>
            <w:tcW w:w="125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行政奖励</w:t>
            </w:r>
          </w:p>
        </w:tc>
        <w:tc>
          <w:tcPr>
            <w:tcW w:w="150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新增</w:t>
            </w:r>
          </w:p>
        </w:tc>
        <w:tc>
          <w:tcPr>
            <w:tcW w:w="6624"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【行政法规】《军人抚恤优待条例》第六条：各级人民政府对在军人抚恤优待工作中作出显著成绩的单位和个人，给予表彰和奖励。  2.《退役士兵安置条例》第七条：对在退役士兵安置工作中作出突出贡献的单位和个人，按照国家有关规定给予表彰、奖励。</w:t>
            </w:r>
          </w:p>
        </w:tc>
      </w:tr>
      <w:tr w:rsidR="00E052C1" w:rsidTr="008D7DA7">
        <w:trPr>
          <w:trHeight w:val="3874"/>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18</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新华区退役军人事务局</w:t>
            </w:r>
          </w:p>
        </w:tc>
        <w:tc>
          <w:tcPr>
            <w:tcW w:w="1791"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 xml:space="preserve">计划分配、自主择业军队转业干部及其随调家属安置 </w:t>
            </w:r>
          </w:p>
        </w:tc>
        <w:tc>
          <w:tcPr>
            <w:tcW w:w="125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其他职权</w:t>
            </w:r>
          </w:p>
        </w:tc>
        <w:tc>
          <w:tcPr>
            <w:tcW w:w="150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新增</w:t>
            </w:r>
          </w:p>
        </w:tc>
        <w:tc>
          <w:tcPr>
            <w:tcW w:w="6624"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【行政法规】《中共中央国务院中央军委〈军队转业干部安置暂行办法〉的通知》（中发</w:t>
            </w:r>
            <w:r>
              <w:rPr>
                <w:rFonts w:ascii="仿宋_GB2312" w:hAnsi="宋体" w:cs="宋体" w:hint="eastAsia"/>
                <w:color w:val="000000"/>
                <w:kern w:val="0"/>
                <w:szCs w:val="21"/>
              </w:rPr>
              <w:t>〔</w:t>
            </w:r>
            <w:r>
              <w:rPr>
                <w:rFonts w:ascii="仿宋_GB2312" w:hAnsi="宋体" w:cs="宋体" w:hint="eastAsia"/>
                <w:color w:val="000000"/>
                <w:kern w:val="0"/>
                <w:szCs w:val="21"/>
              </w:rPr>
              <w:t>2001</w:t>
            </w:r>
            <w:r>
              <w:rPr>
                <w:rFonts w:ascii="仿宋_GB2312" w:hAnsi="宋体" w:cs="宋体" w:hint="eastAsia"/>
                <w:color w:val="000000"/>
                <w:kern w:val="0"/>
                <w:szCs w:val="21"/>
              </w:rPr>
              <w:t>〕</w:t>
            </w:r>
            <w:r>
              <w:rPr>
                <w:rFonts w:ascii="仿宋_GB2312" w:eastAsia="仿宋_GB2312" w:hAnsi="宋体" w:cs="宋体" w:hint="eastAsia"/>
                <w:color w:val="000000"/>
                <w:kern w:val="0"/>
                <w:szCs w:val="21"/>
              </w:rPr>
              <w:t>3号）第四条 军队干部转业地方工作，是国家和军队的一项制度。国家对军队转业干部实行计划分配和自主择业相结合的方式安置。计划分配的军队转业干部由党委、政府负责安排工作和职务；自主择业的军队转业干部由政府协助就业、发给退役金。第五十四条 军队转业干部随调配偶的工作，安置地党委、政府应当参照本人职务等级和从事的职业合理安排，与军队转业干部同时接收安置，发出报到通知。调入调出单位相应增减工资总额。对安排到实行合同制、聘任制企业事业单位的军队转业干部随调配偶，应当给予2年适应期。适应期内，非本人原因不得擅自违约解聘、辞退或者解除劳动、聘用合同。</w:t>
            </w:r>
          </w:p>
        </w:tc>
      </w:tr>
      <w:tr w:rsidR="00E052C1" w:rsidTr="008D7DA7">
        <w:trPr>
          <w:trHeight w:val="3757"/>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lastRenderedPageBreak/>
              <w:t>19</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新华区医保局</w:t>
            </w:r>
          </w:p>
        </w:tc>
        <w:tc>
          <w:tcPr>
            <w:tcW w:w="1791"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骗取医疗保障基金行为的处罚</w:t>
            </w:r>
          </w:p>
        </w:tc>
        <w:tc>
          <w:tcPr>
            <w:tcW w:w="125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行政处罚</w:t>
            </w:r>
          </w:p>
        </w:tc>
        <w:tc>
          <w:tcPr>
            <w:tcW w:w="150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新增</w:t>
            </w:r>
          </w:p>
        </w:tc>
        <w:tc>
          <w:tcPr>
            <w:tcW w:w="6624"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spacing w:line="280" w:lineRule="exact"/>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中华人民共和国社会保险法》第八十七条：“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第八十八条：“以欺诈、伪造证明材料或者其他手段骗取社会保险待遇的，由社会保险行政部门责令退回骗取的社会保险金，处骗取金额二倍以上五倍以下的罚款。”</w:t>
            </w:r>
            <w:r>
              <w:rPr>
                <w:rFonts w:ascii="仿宋_GB2312" w:eastAsia="仿宋_GB2312" w:hAnsi="宋体" w:cs="宋体" w:hint="eastAsia"/>
                <w:color w:val="000000"/>
                <w:kern w:val="0"/>
                <w:szCs w:val="21"/>
              </w:rPr>
              <w:br/>
              <w:t xml:space="preserve">    《平顶山市人民政府办公室职能配置内设机构和人员编制规定》（平办文〔2019〕18号）第四条：“（二）组织拟订全市医疗保障基金监督管理办法并组织实施，建立健全医疗保障基金安全防控机制，推进医疗保障基金支付方式改革。（七）……监督管理纳入医保范围内的医疗服务行为和医疗费用，依法查处医疗保障领域违法违规行为。”</w:t>
            </w:r>
          </w:p>
        </w:tc>
      </w:tr>
      <w:tr w:rsidR="00E052C1" w:rsidTr="008D7DA7">
        <w:trPr>
          <w:trHeight w:val="1029"/>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20</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新华区医保局</w:t>
            </w:r>
          </w:p>
        </w:tc>
        <w:tc>
          <w:tcPr>
            <w:tcW w:w="1791"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社会保险（医疗保障）稽核</w:t>
            </w:r>
          </w:p>
        </w:tc>
        <w:tc>
          <w:tcPr>
            <w:tcW w:w="125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行政检查</w:t>
            </w:r>
          </w:p>
        </w:tc>
        <w:tc>
          <w:tcPr>
            <w:tcW w:w="150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新增</w:t>
            </w:r>
          </w:p>
        </w:tc>
        <w:tc>
          <w:tcPr>
            <w:tcW w:w="6624"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spacing w:line="280" w:lineRule="exact"/>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《社会保险稽核办法》（劳动和社会保障部令第16号）第三条：“县级以上社会保险经办机构负责社会保险稽核工作。县级以上社会保险经办机构的稽核部门具体承办社会保险稽核工作。”</w:t>
            </w:r>
          </w:p>
        </w:tc>
      </w:tr>
      <w:tr w:rsidR="00E052C1" w:rsidTr="008D7DA7">
        <w:trPr>
          <w:trHeight w:val="293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21</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新华区医保局</w:t>
            </w:r>
          </w:p>
        </w:tc>
        <w:tc>
          <w:tcPr>
            <w:tcW w:w="1791"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选择基本医疗保险定点医疗机构和定点零售药店，并签订服务协议</w:t>
            </w:r>
          </w:p>
        </w:tc>
        <w:tc>
          <w:tcPr>
            <w:tcW w:w="125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其他职权</w:t>
            </w:r>
          </w:p>
        </w:tc>
        <w:tc>
          <w:tcPr>
            <w:tcW w:w="150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新增</w:t>
            </w:r>
          </w:p>
        </w:tc>
        <w:tc>
          <w:tcPr>
            <w:tcW w:w="6624"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spacing w:line="280" w:lineRule="exact"/>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中华人民共和国社会保险法》第三十一条：“社会保险经办机构根据管理服务的需要，可以与医疗机构、药品经营单位签订服务协议，规范医疗服务行为。医疗机构应当为参保人员提供合理、必要的医疗服务。” 根据《平顶山市定点医疗机构管理办法》（平人社医疗〔2016〕4号）：为贯彻落实《河南省人力资源和社会保障厅转发&lt;人力资源和社会保障部关于完善基本医疗保险定点医药机构协议管理的指导意见&gt;的通知》（豫人社医疗〔2016〕3号）精神，进一步完善我市城镇基本医疗保险定点医药机构管理体系，规范城镇基本医疗保险定点医药机构医疗服务行为，促进各级各类医药机构公平参与竞争，提高管理服务质量和水平，更好地满足参保人员的基本医疗需求。</w:t>
            </w:r>
          </w:p>
        </w:tc>
      </w:tr>
      <w:tr w:rsidR="00E052C1" w:rsidTr="008D7DA7">
        <w:trPr>
          <w:trHeight w:val="3057"/>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lastRenderedPageBreak/>
              <w:t>22</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新华区财政局</w:t>
            </w:r>
          </w:p>
        </w:tc>
        <w:tc>
          <w:tcPr>
            <w:tcW w:w="1791"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代理记账机构监督检查</w:t>
            </w:r>
          </w:p>
        </w:tc>
        <w:tc>
          <w:tcPr>
            <w:tcW w:w="125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行政检查</w:t>
            </w:r>
          </w:p>
        </w:tc>
        <w:tc>
          <w:tcPr>
            <w:tcW w:w="150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设定依据修改</w:t>
            </w:r>
          </w:p>
        </w:tc>
        <w:tc>
          <w:tcPr>
            <w:tcW w:w="6624"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《财政部关于修改&lt;代理记账管理办法&gt;等2部部门规章的决定》（中华人民共和国财政部令第98号）：代理记账管理办法 第十七条 县级以上人民政府财政部门对代理记账机构及其从事代理记账业务情况实施监督，随机抽取检查对象、随机选派执法检查人员，并将抽查情况及查处结果依法及时向社会公开。对委托代理记账的企业因违反财税法律、法规受到处理处罚的，县级以上人民政府财政部门应当将其委托的代理记账机构列入重点检查对象。对其他部门移交的代理记账违法行为线索，县级以上人民政府财政部门应当及时予以查处。</w:t>
            </w:r>
          </w:p>
        </w:tc>
      </w:tr>
      <w:tr w:rsidR="00E052C1" w:rsidTr="008D7DA7">
        <w:trPr>
          <w:trHeight w:val="1364"/>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23</w:t>
            </w:r>
          </w:p>
        </w:tc>
        <w:tc>
          <w:tcPr>
            <w:tcW w:w="952"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新华区商务局</w:t>
            </w:r>
          </w:p>
        </w:tc>
        <w:tc>
          <w:tcPr>
            <w:tcW w:w="1791"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成品油经营企业违反《成品油市场管理办法》的处罚</w:t>
            </w:r>
          </w:p>
        </w:tc>
        <w:tc>
          <w:tcPr>
            <w:tcW w:w="125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行政处罚</w:t>
            </w:r>
          </w:p>
        </w:tc>
        <w:tc>
          <w:tcPr>
            <w:tcW w:w="1505" w:type="dxa"/>
            <w:tcBorders>
              <w:top w:val="single" w:sz="4" w:space="0" w:color="000000"/>
              <w:left w:val="single" w:sz="4" w:space="0" w:color="000000"/>
              <w:bottom w:val="single" w:sz="4" w:space="0" w:color="000000"/>
              <w:right w:val="single" w:sz="4" w:space="0" w:color="000000"/>
            </w:tcBorders>
            <w:noWrap/>
            <w:vAlign w:val="center"/>
          </w:tcPr>
          <w:p w:rsidR="00E052C1" w:rsidRDefault="00E052C1" w:rsidP="008D7DA7">
            <w:pPr>
              <w:jc w:val="center"/>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取消</w:t>
            </w:r>
          </w:p>
        </w:tc>
        <w:tc>
          <w:tcPr>
            <w:tcW w:w="6624" w:type="dxa"/>
            <w:tcBorders>
              <w:top w:val="single" w:sz="4" w:space="0" w:color="000000"/>
              <w:left w:val="single" w:sz="4" w:space="0" w:color="000000"/>
              <w:bottom w:val="single" w:sz="4" w:space="0" w:color="000000"/>
              <w:right w:val="single" w:sz="4" w:space="0" w:color="000000"/>
            </w:tcBorders>
            <w:vAlign w:val="center"/>
          </w:tcPr>
          <w:p w:rsidR="00E052C1" w:rsidRDefault="00E052C1" w:rsidP="008D7DA7">
            <w:pPr>
              <w:ind w:firstLineChars="200" w:firstLine="420"/>
              <w:rPr>
                <w:rFonts w:ascii="仿宋_GB2312" w:eastAsia="仿宋_GB2312" w:hAnsi="宋体" w:cs="宋体" w:hint="eastAsia"/>
                <w:color w:val="000000"/>
                <w:kern w:val="0"/>
                <w:szCs w:val="21"/>
              </w:rPr>
            </w:pPr>
            <w:r>
              <w:rPr>
                <w:rFonts w:ascii="仿宋_GB2312" w:eastAsia="仿宋_GB2312" w:hAnsi="宋体" w:cs="宋体" w:hint="eastAsia"/>
                <w:color w:val="000000"/>
                <w:kern w:val="0"/>
                <w:szCs w:val="21"/>
              </w:rPr>
              <w:t>《商务部关于废止部分规章的决定》（中华人民共和国商务部令2020年第1号）：废止《成品油市场管理办法》（商务部令2006年第23号，经商务部令2015年第2号、商务部令2019年第1号修订）。</w:t>
            </w:r>
          </w:p>
        </w:tc>
      </w:tr>
    </w:tbl>
    <w:p w:rsidR="00E052C1" w:rsidRDefault="00E052C1" w:rsidP="00E052C1">
      <w:pPr>
        <w:spacing w:line="556" w:lineRule="exact"/>
        <w:ind w:rightChars="600" w:right="1260"/>
        <w:jc w:val="right"/>
        <w:rPr>
          <w:rFonts w:ascii="仿宋_GB2312" w:eastAsia="仿宋_GB2312" w:hAnsi="仿宋_GB2312" w:cs="仿宋_GB2312"/>
          <w:sz w:val="32"/>
          <w:szCs w:val="32"/>
        </w:rPr>
        <w:sectPr w:rsidR="00E052C1" w:rsidSect="005A06F1">
          <w:pgSz w:w="16838" w:h="11906" w:orient="landscape" w:code="9"/>
          <w:pgMar w:top="1588" w:right="1985" w:bottom="1474" w:left="2098" w:header="851" w:footer="1525" w:gutter="0"/>
          <w:cols w:space="720"/>
          <w:docGrid w:type="linesAndChars" w:linePitch="312"/>
        </w:sectPr>
      </w:pPr>
    </w:p>
    <w:p w:rsidR="00333103" w:rsidRPr="00E052C1" w:rsidRDefault="00333103" w:rsidP="00E052C1">
      <w:pPr>
        <w:spacing w:line="556" w:lineRule="exact"/>
        <w:ind w:rightChars="600" w:right="1260"/>
        <w:jc w:val="right"/>
      </w:pPr>
    </w:p>
    <w:sectPr w:rsidR="00333103" w:rsidRPr="00E052C1" w:rsidSect="008448E3">
      <w:pgSz w:w="11906" w:h="16838" w:code="9"/>
      <w:pgMar w:top="2098" w:right="1474" w:bottom="1985" w:left="1588" w:header="851" w:footer="1525"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103" w:rsidRDefault="00333103" w:rsidP="00E052C1">
      <w:r>
        <w:separator/>
      </w:r>
    </w:p>
  </w:endnote>
  <w:endnote w:type="continuationSeparator" w:id="1">
    <w:p w:rsidR="00333103" w:rsidRDefault="00333103" w:rsidP="00E052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103" w:rsidRDefault="00333103" w:rsidP="00E052C1">
      <w:r>
        <w:separator/>
      </w:r>
    </w:p>
  </w:footnote>
  <w:footnote w:type="continuationSeparator" w:id="1">
    <w:p w:rsidR="00333103" w:rsidRDefault="00333103" w:rsidP="00E052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52C1"/>
    <w:rsid w:val="00333103"/>
    <w:rsid w:val="00E052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2C1"/>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052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052C1"/>
    <w:rPr>
      <w:sz w:val="18"/>
      <w:szCs w:val="18"/>
    </w:rPr>
  </w:style>
  <w:style w:type="paragraph" w:styleId="a4">
    <w:name w:val="footer"/>
    <w:basedOn w:val="a"/>
    <w:link w:val="Char0"/>
    <w:uiPriority w:val="99"/>
    <w:semiHidden/>
    <w:unhideWhenUsed/>
    <w:rsid w:val="00E052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052C1"/>
    <w:rPr>
      <w:sz w:val="18"/>
      <w:szCs w:val="18"/>
    </w:rPr>
  </w:style>
  <w:style w:type="paragraph" w:customStyle="1" w:styleId="p0">
    <w:name w:val="p0"/>
    <w:basedOn w:val="a"/>
    <w:rsid w:val="00E052C1"/>
    <w:pPr>
      <w:widowControl/>
      <w:textAlignment w:val="baseline"/>
    </w:pPr>
    <w:rPr>
      <w:rFonts w:cs="宋体"/>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1080</Words>
  <Characters>6158</Characters>
  <Application>Microsoft Office Word</Application>
  <DocSecurity>0</DocSecurity>
  <Lines>51</Lines>
  <Paragraphs>14</Paragraphs>
  <ScaleCrop>false</ScaleCrop>
  <Company>china</Company>
  <LinksUpToDate>false</LinksUpToDate>
  <CharactersWithSpaces>7224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2022-07-21T10:29:00Z</dcterms:created>
  <dcterms:modified xsi:type="dcterms:W3CDTF">2022-07-21T10:29:00Z</dcterms:modified>
</cp:coreProperties>
</file>