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EE" w:rsidRDefault="00EF42EE" w:rsidP="00EF42EE">
      <w:pPr>
        <w:jc w:val="center"/>
        <w:rPr>
          <w:rFonts w:ascii="宋体" w:hAnsi="宋体"/>
          <w:b/>
          <w:bCs/>
          <w:sz w:val="44"/>
          <w:szCs w:val="44"/>
        </w:rPr>
      </w:pPr>
      <w:r>
        <w:rPr>
          <w:rFonts w:ascii="宋体" w:hAnsi="宋体" w:hint="eastAsia"/>
          <w:b/>
          <w:bCs/>
          <w:sz w:val="44"/>
          <w:szCs w:val="44"/>
        </w:rPr>
        <w:t>新华区镇（街道）综合行政执法承接事项</w:t>
      </w:r>
    </w:p>
    <w:p w:rsidR="00EF42EE" w:rsidRDefault="00EF42EE" w:rsidP="00EF42EE">
      <w:pPr>
        <w:jc w:val="center"/>
        <w:rPr>
          <w:rFonts w:ascii="宋体" w:hAnsi="宋体" w:hint="eastAsia"/>
          <w:b/>
          <w:bCs/>
          <w:sz w:val="44"/>
          <w:szCs w:val="44"/>
        </w:rPr>
      </w:pPr>
      <w:r>
        <w:rPr>
          <w:rFonts w:ascii="宋体" w:hAnsi="宋体" w:hint="eastAsia"/>
          <w:b/>
          <w:bCs/>
          <w:sz w:val="44"/>
          <w:szCs w:val="44"/>
        </w:rPr>
        <w:t>实施方案（征求意见稿）</w:t>
      </w:r>
    </w:p>
    <w:p w:rsidR="00EF42EE" w:rsidRDefault="00EF42EE" w:rsidP="00EF42EE">
      <w:pPr>
        <w:jc w:val="center"/>
        <w:rPr>
          <w:rFonts w:ascii="宋体" w:hAnsi="宋体" w:hint="eastAsia"/>
          <w:b/>
          <w:bCs/>
          <w:sz w:val="44"/>
          <w:szCs w:val="44"/>
        </w:rPr>
      </w:pPr>
      <w:r>
        <w:rPr>
          <w:rFonts w:ascii="宋体" w:hAnsi="宋体" w:hint="eastAsia"/>
          <w:b/>
          <w:bCs/>
          <w:sz w:val="44"/>
          <w:szCs w:val="44"/>
        </w:rPr>
        <w:t xml:space="preserve"> </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为深入贯彻落实党的二十大和二十届三中、四中全会关于完善基层综合执法体制机制的决策部署，全面提升我区镇（街道）综合行政执法规范化水平，根据《平顶山市乡镇（街道）综合行政执法承接事项清单的通知》（平政〔2026〕2号）部署要求，结合我区实际，制定本方案。</w:t>
      </w:r>
    </w:p>
    <w:p w:rsidR="00EF42EE" w:rsidRDefault="00EF42EE" w:rsidP="00EF42EE">
      <w:pPr>
        <w:ind w:firstLineChars="200" w:firstLine="640"/>
        <w:rPr>
          <w:rFonts w:ascii="黑体" w:eastAsia="黑体" w:hAnsi="黑体" w:hint="eastAsia"/>
          <w:sz w:val="32"/>
          <w:szCs w:val="32"/>
        </w:rPr>
      </w:pPr>
      <w:r>
        <w:rPr>
          <w:rFonts w:ascii="黑体" w:eastAsia="黑体" w:hAnsi="黑体" w:hint="eastAsia"/>
          <w:sz w:val="32"/>
          <w:szCs w:val="32"/>
        </w:rPr>
        <w:t>一、指导思想</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坚持以习近平新时代中国特色社会主义思想为指导，全面贯彻习近平法治思想，以规范行政执法行为为核心，以提升执法队伍能力为保障，加快构建权责清晰、运转协调、执法规范、监督有力的镇（街道）行政执法体系，为建设更高水平的法治新华提供坚实保障。</w:t>
      </w:r>
    </w:p>
    <w:p w:rsidR="00EF42EE" w:rsidRDefault="00EF42EE" w:rsidP="00EF42EE">
      <w:pPr>
        <w:ind w:firstLineChars="200" w:firstLine="640"/>
        <w:rPr>
          <w:rFonts w:ascii="黑体" w:eastAsia="黑体" w:hAnsi="黑体" w:hint="eastAsia"/>
          <w:sz w:val="32"/>
          <w:szCs w:val="32"/>
        </w:rPr>
      </w:pPr>
      <w:r>
        <w:rPr>
          <w:rFonts w:ascii="黑体" w:eastAsia="黑体" w:hAnsi="黑体" w:hint="eastAsia"/>
          <w:sz w:val="32"/>
          <w:szCs w:val="32"/>
        </w:rPr>
        <w:t>二、工作目标</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全区镇（街道）行政执法体制机制基本完善，行政执法质量和效能显著提升，群众对执法工作的满意度持续提高，实现“一支队伍管执法”全覆盖，执法事项承接、办结顺畅，形成可复制、可推广的基层综合行政执法“新华经验”。</w:t>
      </w:r>
    </w:p>
    <w:p w:rsidR="00EF42EE" w:rsidRDefault="00EF42EE" w:rsidP="00EF42EE">
      <w:pPr>
        <w:pStyle w:val="a4"/>
        <w:ind w:firstLine="640"/>
        <w:rPr>
          <w:rFonts w:ascii="黑体" w:eastAsia="黑体" w:hAnsi="黑体" w:cs="Times New Roman" w:hint="eastAsia"/>
          <w:sz w:val="32"/>
          <w:szCs w:val="32"/>
        </w:rPr>
      </w:pPr>
      <w:r>
        <w:rPr>
          <w:rFonts w:ascii="黑体" w:eastAsia="黑体" w:hAnsi="黑体" w:cs="Times New Roman" w:hint="eastAsia"/>
          <w:sz w:val="32"/>
          <w:szCs w:val="32"/>
        </w:rPr>
        <w:t>三、镇（街道）承接的行政执法职权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（一）镇承接25项行政处罚权：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1.交通运输方面的10项行政处罚权；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lastRenderedPageBreak/>
        <w:t>2.水利方面的2项行政处罚权；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3.农业农村方面的1项行政处罚权；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4.消防救援方面的12项行政处罚权。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（二）街道承接16项行政处罚权：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1.农业农村方面的1项行政处罚权；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2.消防救援方面的15项行政处罚权。</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镇（街道）依法实施与承接的行政处罚权有关的行政检查、行政强制措施。</w:t>
      </w:r>
    </w:p>
    <w:p w:rsidR="00EF42EE" w:rsidRDefault="00EF42EE" w:rsidP="00EF42EE">
      <w:pPr>
        <w:pStyle w:val="a4"/>
        <w:ind w:firstLine="640"/>
        <w:rPr>
          <w:rFonts w:ascii="黑体" w:eastAsia="黑体" w:hAnsi="黑体" w:cs="Times New Roman" w:hint="eastAsia"/>
          <w:sz w:val="32"/>
          <w:szCs w:val="32"/>
        </w:rPr>
      </w:pPr>
      <w:r>
        <w:rPr>
          <w:rFonts w:ascii="黑体" w:eastAsia="黑体" w:hAnsi="黑体" w:cs="Times New Roman" w:hint="eastAsia"/>
          <w:sz w:val="32"/>
          <w:szCs w:val="32"/>
        </w:rPr>
        <w:t>四、取消的乡镇行政执法职权</w:t>
      </w:r>
    </w:p>
    <w:p w:rsidR="00EF42EE" w:rsidRDefault="00EF42EE" w:rsidP="00EF42EE">
      <w:pPr>
        <w:pStyle w:val="a3"/>
        <w:ind w:firstLine="640"/>
        <w:rPr>
          <w:rFonts w:eastAsia="仿宋_GB2312" w:hint="eastAsia"/>
          <w:sz w:val="32"/>
          <w:szCs w:val="32"/>
        </w:rPr>
      </w:pPr>
      <w:r>
        <w:rPr>
          <w:rFonts w:eastAsia="仿宋_GB2312" w:hAnsi="Times New Roman" w:hint="eastAsia"/>
          <w:sz w:val="32"/>
          <w:szCs w:val="32"/>
        </w:rPr>
        <w:t>《平顶山市人民政府关于印发平顶山市开展乡镇综合行政执法工作实施方案的通知》（平政〔2023〕23号）中经省政府批复交由乡镇行使的72项行政处罚权，未纳入此次《事项清单》的一律予以取消；取消后乡镇不再承接的行政处罚权由原行政执法部门继续行使。</w:t>
      </w:r>
    </w:p>
    <w:p w:rsidR="00EF42EE" w:rsidRDefault="00EF42EE" w:rsidP="00EF42EE">
      <w:pPr>
        <w:ind w:firstLineChars="200" w:firstLine="640"/>
        <w:rPr>
          <w:rFonts w:ascii="黑体" w:eastAsia="黑体" w:hAnsi="黑体" w:hint="eastAsia"/>
          <w:sz w:val="32"/>
          <w:szCs w:val="32"/>
        </w:rPr>
      </w:pPr>
      <w:r>
        <w:rPr>
          <w:rFonts w:ascii="黑体" w:eastAsia="黑体" w:hAnsi="黑体" w:hint="eastAsia"/>
          <w:sz w:val="32"/>
          <w:szCs w:val="32"/>
        </w:rPr>
        <w:t xml:space="preserve">五、主要任务  </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一）建立新华区镇（街道）综合行政执法工作协调机制。成立由区政府分管领导任组长，各相关部门、各镇街道主要负责同志为成员的规范镇（街道）综合行政执法工作领导小组，领导小组办公室设在区司法局，具体负责统筹协调、指导推进、督促检查等工作。</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（二）做好相关执法衔接工作。各镇（街道）以镇政府（街道办事处）名义行使承接的行政处罚权，原行政执法部门在镇（街道）范围内不再行使；继续行使的，所作出的行</w:t>
      </w:r>
      <w:r>
        <w:rPr>
          <w:rFonts w:ascii="仿宋_GB2312" w:eastAsia="仿宋_GB2312" w:hint="eastAsia"/>
          <w:sz w:val="32"/>
          <w:szCs w:val="32"/>
        </w:rPr>
        <w:lastRenderedPageBreak/>
        <w:t>政处罚决定无效。调整前原行政执法部门、镇政府已经立案调查的案件应继续办理完毕。香山管委会辖区由原行政执法部门继续行使行政处罚权。各镇（街道）定期做好案件分析，根据执法案件类型，分类抄送原行政执法部门，并接受其指导、监督；全面推行行政执法责任制，严格落实行政执法公示制度、执法全过程记录制度、重大执法决定法制审核制度；加强执法能力建设，充实综合行政执法队伍力量并保持稳定，提升执法人员法治意识和职业素养，切实做到严格规范公正文明执法；全面落实“扫码入企”工作制度，熟练掌握“扫码入企”平台操作规范。</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三）强化行政执法协调配合。原行政执法部门要加强与镇（街道）的协调配合，定期推进违法线索、证据材料、执法标准、处理结果的互通、互认，及时将上级部门出台的涉及执法工作的政策、通知、解释、答复等相关文件抄送乡镇（街道）；在职责范围内加强对镇（街道）综合行政执法的业务指导和监督，定期组织实施相关专业法律知识和业务技能培训考试，通过制定实用、易操作的执法工作指引、提供“教科书式”执法案例，指导镇（街道）综合行政执法人员掌握相关执法技能。</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（四）区司法局要加强对镇（街道）综合行政执法工作的规范指导、协调监督，统筹本地区镇（街道）综合行政执法人员的培训考试工作，定期组织实施公共法律知识培训考</w:t>
      </w:r>
      <w:r>
        <w:rPr>
          <w:rFonts w:ascii="仿宋_GB2312" w:eastAsia="仿宋_GB2312" w:hint="eastAsia"/>
          <w:sz w:val="32"/>
          <w:szCs w:val="32"/>
        </w:rPr>
        <w:lastRenderedPageBreak/>
        <w:t>试；加强对镇（街道）综合行政执法的监督检查，对存在执法不作为、慢作为、乱作为情形的，要及时督促整改，造成不良后果的，依法依规予以追责。</w:t>
      </w:r>
    </w:p>
    <w:p w:rsidR="00EF42EE" w:rsidRDefault="00EF42EE" w:rsidP="00EF42EE">
      <w:pPr>
        <w:ind w:firstLineChars="200" w:firstLine="640"/>
        <w:rPr>
          <w:rFonts w:ascii="仿宋_GB2312" w:eastAsia="仿宋_GB2312" w:hint="eastAsia"/>
          <w:sz w:val="32"/>
          <w:szCs w:val="32"/>
        </w:rPr>
      </w:pPr>
      <w:r>
        <w:rPr>
          <w:rFonts w:ascii="仿宋_GB2312" w:eastAsia="仿宋_GB2312" w:hint="eastAsia"/>
          <w:sz w:val="32"/>
          <w:szCs w:val="32"/>
        </w:rPr>
        <w:t>（五）建立健全动态评估机制，定期研判《事项清单》实施成效，对确需调整的事项按照程序提出调整建议。区司法局会同区委编办等有关部门，加强对镇（街道）承接行政处罚权工作的跟踪指导，对实施过程中出现的重要情况和问题要及时请示、报告。</w:t>
      </w:r>
    </w:p>
    <w:p w:rsidR="00EF42EE" w:rsidRDefault="00EF42EE" w:rsidP="00EF42EE">
      <w:pPr>
        <w:pStyle w:val="a3"/>
        <w:ind w:firstLine="640"/>
        <w:rPr>
          <w:rFonts w:eastAsia="仿宋_GB2312" w:hAnsi="Times New Roman" w:hint="eastAsia"/>
          <w:sz w:val="32"/>
          <w:szCs w:val="32"/>
        </w:rPr>
      </w:pPr>
      <w:r>
        <w:rPr>
          <w:rFonts w:eastAsia="仿宋_GB2312" w:hint="eastAsia"/>
          <w:sz w:val="32"/>
          <w:szCs w:val="32"/>
        </w:rPr>
        <w:t>（六）</w:t>
      </w:r>
      <w:r>
        <w:rPr>
          <w:rFonts w:eastAsia="仿宋_GB2312" w:hAnsi="Times New Roman" w:hint="eastAsia"/>
          <w:sz w:val="32"/>
          <w:szCs w:val="32"/>
        </w:rPr>
        <w:t>公民、法人或者其他组织对镇（街道）作出的行政处罚决定不服提出的行政复议申请，由镇（街道）所在的区级行政复议机构依法受理。</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本方案自2026年3月31日起实施。</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附件：1.平顶山市乡镇综合行政执法承接事项清单</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 xml:space="preserve">         （2025年）</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 xml:space="preserve">      2.平顶山市街道综合行政执法承接事项清单</w:t>
      </w:r>
    </w:p>
    <w:p w:rsidR="00EF42EE" w:rsidRDefault="00EF42EE" w:rsidP="00EF42EE">
      <w:pPr>
        <w:pStyle w:val="a3"/>
        <w:ind w:firstLine="640"/>
        <w:rPr>
          <w:rFonts w:eastAsia="仿宋_GB2312" w:hAnsi="Times New Roman" w:hint="eastAsia"/>
          <w:sz w:val="32"/>
          <w:szCs w:val="32"/>
        </w:rPr>
      </w:pPr>
      <w:r>
        <w:rPr>
          <w:rFonts w:eastAsia="仿宋_GB2312" w:hAnsi="Times New Roman" w:hint="eastAsia"/>
          <w:sz w:val="32"/>
          <w:szCs w:val="32"/>
        </w:rPr>
        <w:t xml:space="preserve">         （2025年）</w:t>
      </w:r>
    </w:p>
    <w:p w:rsidR="00EF42EE" w:rsidRDefault="00EF42EE" w:rsidP="00EF42EE">
      <w:pPr>
        <w:pStyle w:val="a3"/>
        <w:ind w:leftChars="760" w:left="1916" w:hangingChars="100" w:hanging="320"/>
        <w:rPr>
          <w:rFonts w:eastAsia="仿宋_GB2312" w:hAnsi="Times New Roman" w:hint="eastAsia"/>
          <w:sz w:val="32"/>
          <w:szCs w:val="32"/>
        </w:rPr>
      </w:pPr>
      <w:r>
        <w:rPr>
          <w:rFonts w:eastAsia="仿宋_GB2312" w:hAnsi="Times New Roman" w:hint="eastAsia"/>
          <w:sz w:val="32"/>
          <w:szCs w:val="32"/>
        </w:rPr>
        <w:t>3.乡镇（街道）消防救援领域行政处罚权的行使范围</w:t>
      </w:r>
    </w:p>
    <w:p w:rsidR="00EF42EE" w:rsidRDefault="00EF42EE" w:rsidP="00EF42EE">
      <w:pPr>
        <w:pStyle w:val="a3"/>
        <w:ind w:firstLine="420"/>
        <w:rPr>
          <w:rFonts w:hint="eastAsia"/>
        </w:rPr>
      </w:pPr>
      <w:r>
        <w:rPr>
          <w:rFonts w:hint="eastAsia"/>
        </w:rPr>
        <w:t xml:space="preserve"> </w:t>
      </w:r>
    </w:p>
    <w:p w:rsidR="00EF42EE" w:rsidRDefault="00EF42EE" w:rsidP="00EF42EE">
      <w:pPr>
        <w:ind w:right="640"/>
        <w:rPr>
          <w:rFonts w:ascii="仿宋_GB2312" w:eastAsia="仿宋_GB2312" w:hint="eastAsia"/>
          <w:sz w:val="32"/>
          <w:szCs w:val="32"/>
        </w:rPr>
      </w:pPr>
      <w:r>
        <w:rPr>
          <w:rFonts w:ascii="仿宋_GB2312" w:eastAsia="仿宋_GB2312" w:hint="eastAsia"/>
          <w:sz w:val="32"/>
          <w:szCs w:val="32"/>
        </w:rPr>
        <w:t xml:space="preserve">     </w:t>
      </w:r>
    </w:p>
    <w:p w:rsidR="00EF42EE" w:rsidRDefault="00EF42EE" w:rsidP="00EF42EE">
      <w:pPr>
        <w:pStyle w:val="a5"/>
        <w:ind w:rightChars="0" w:right="0" w:firstLineChars="1600" w:firstLine="5120"/>
        <w:jc w:val="both"/>
        <w:rPr>
          <w:rFonts w:eastAsia="仿宋_GB2312" w:hAnsi="Times New Roman" w:hint="eastAsia"/>
          <w:sz w:val="32"/>
          <w:szCs w:val="32"/>
        </w:rPr>
      </w:pPr>
      <w:r>
        <w:rPr>
          <w:rFonts w:eastAsia="仿宋_GB2312" w:hAnsi="Times New Roman" w:hint="eastAsia"/>
          <w:sz w:val="32"/>
          <w:szCs w:val="32"/>
        </w:rPr>
        <w:t>2026年 月  日</w:t>
      </w:r>
    </w:p>
    <w:p w:rsidR="00EF42EE" w:rsidRDefault="00EF42EE" w:rsidP="00EF42EE">
      <w:pPr>
        <w:autoSpaceDE w:val="0"/>
        <w:spacing w:line="580" w:lineRule="exact"/>
        <w:rPr>
          <w:rFonts w:ascii="宋体" w:hAnsi="宋体" w:hint="eastAsia"/>
          <w:b/>
          <w:sz w:val="32"/>
          <w:szCs w:val="32"/>
        </w:rPr>
      </w:pPr>
      <w:r>
        <w:rPr>
          <w:rFonts w:ascii="宋体" w:hAnsi="宋体" w:hint="eastAsia"/>
          <w:b/>
          <w:sz w:val="32"/>
          <w:szCs w:val="32"/>
        </w:rPr>
        <w:t>附件1</w:t>
      </w:r>
    </w:p>
    <w:p w:rsidR="00EF42EE" w:rsidRDefault="00EF42EE" w:rsidP="00EF42EE">
      <w:pPr>
        <w:pStyle w:val="a3"/>
        <w:ind w:firstLineChars="0" w:firstLine="0"/>
        <w:rPr>
          <w:rFonts w:hint="eastAsia"/>
        </w:rPr>
      </w:pPr>
      <w:r>
        <w:rPr>
          <w:rFonts w:hint="eastAsia"/>
        </w:rPr>
        <w:lastRenderedPageBreak/>
        <w:t xml:space="preserve"> </w:t>
      </w:r>
    </w:p>
    <w:p w:rsidR="00EF42EE" w:rsidRDefault="00EF42EE" w:rsidP="00EF42EE">
      <w:pPr>
        <w:pStyle w:val="a6"/>
        <w:rPr>
          <w:rFonts w:hint="eastAsia"/>
          <w:sz w:val="40"/>
          <w:szCs w:val="40"/>
        </w:rPr>
      </w:pPr>
      <w:r>
        <w:rPr>
          <w:rFonts w:hint="eastAsia"/>
          <w:sz w:val="40"/>
          <w:szCs w:val="40"/>
        </w:rPr>
        <w:t>平顶山市乡镇综合行政执法承接事项清单</w:t>
      </w:r>
    </w:p>
    <w:p w:rsidR="00EF42EE" w:rsidRDefault="00EF42EE" w:rsidP="00EF42EE">
      <w:pPr>
        <w:pStyle w:val="a3"/>
        <w:ind w:firstLineChars="0" w:firstLine="0"/>
        <w:jc w:val="center"/>
        <w:rPr>
          <w:rFonts w:ascii="楷体_GB2312" w:eastAsia="楷体_GB2312" w:hint="eastAsia"/>
          <w:sz w:val="32"/>
          <w:szCs w:val="32"/>
        </w:rPr>
      </w:pPr>
      <w:r>
        <w:rPr>
          <w:rFonts w:ascii="楷体_GB2312" w:eastAsia="楷体_GB2312" w:hint="eastAsia"/>
          <w:sz w:val="32"/>
          <w:szCs w:val="32"/>
        </w:rPr>
        <w:t>（2025年）</w:t>
      </w:r>
    </w:p>
    <w:p w:rsidR="00EF42EE" w:rsidRDefault="00EF42EE" w:rsidP="00EF42EE">
      <w:pPr>
        <w:pStyle w:val="a3"/>
        <w:ind w:firstLineChars="0" w:firstLine="0"/>
        <w:jc w:val="center"/>
        <w:rPr>
          <w:rFonts w:ascii="楷体_GB2312" w:eastAsia="楷体_GB2312" w:hint="eastAsia"/>
          <w:sz w:val="32"/>
          <w:szCs w:val="32"/>
        </w:rPr>
      </w:pPr>
      <w:r>
        <w:rPr>
          <w:rFonts w:ascii="楷体_GB2312" w:eastAsia="楷体_GB2312" w:hint="eastAsia"/>
          <w:sz w:val="32"/>
          <w:szCs w:val="32"/>
        </w:rPr>
        <w:t xml:space="preserve"> </w:t>
      </w:r>
    </w:p>
    <w:tbl>
      <w:tblPr>
        <w:tblW w:w="9391" w:type="dxa"/>
        <w:jc w:val="center"/>
        <w:tblLook w:val="04A0"/>
      </w:tblPr>
      <w:tblGrid>
        <w:gridCol w:w="687"/>
        <w:gridCol w:w="3145"/>
        <w:gridCol w:w="1469"/>
        <w:gridCol w:w="3225"/>
        <w:gridCol w:w="865"/>
      </w:tblGrid>
      <w:tr w:rsidR="00EF42EE" w:rsidTr="00EF42EE">
        <w:trPr>
          <w:trHeight w:val="480"/>
          <w:jc w:val="center"/>
        </w:trPr>
        <w:tc>
          <w:tcPr>
            <w:tcW w:w="687" w:type="dxa"/>
            <w:tcBorders>
              <w:top w:val="single" w:sz="4" w:space="0" w:color="000000"/>
              <w:left w:val="single" w:sz="4" w:space="0" w:color="000000"/>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序号</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事项名称</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执法领域</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实施依据</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行使范围</w:t>
            </w:r>
          </w:p>
        </w:tc>
      </w:tr>
      <w:tr w:rsidR="00EF42EE" w:rsidTr="00EF42EE">
        <w:trPr>
          <w:trHeight w:val="114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对擅自占用、挖掘公路的行政处罚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《中华人民共和国公路法》：第四十四条第一款、第七十六条第一项</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405"/>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对铁轮车、履带车和其他可能损害路面的机具擅自在公路上行驶的行政处罚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《中华人民共和国公路法》：第四十八条、第七十六条第四项</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15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3</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对造成公路损坏未报告的行政处罚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《中华人民共和国公路法》：第五十三条、第七十八条</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34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4</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对未经批准在公路上增设平面交叉道口的行政处罚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《中华人民共和国公路法》：第五十五条、第八十条</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38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5</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对在公路建筑控制区内修建建筑物、地面构筑物或者擅自埋设管线、电缆等设施的行政处罚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《中华人民共和国公路法》：第五十六条第一款、第八十一条</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275"/>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6</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对涉路工程设施影响公路完好、安全和畅通的行政处罚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《公路安全保护条例》（国务院令第593号）：第二十九条第三款、第六十条第二项</w:t>
            </w:r>
          </w:p>
        </w:tc>
        <w:tc>
          <w:tcPr>
            <w:tcW w:w="86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乡道</w:t>
            </w:r>
          </w:p>
        </w:tc>
      </w:tr>
      <w:tr w:rsidR="00EF42EE" w:rsidTr="00EF42EE">
        <w:trPr>
          <w:trHeight w:val="128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7</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对擅自占用、挖掘村道的行政处罚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《河南省农村公路条例》：第三十九条第一款、第五十三条第一项</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29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lastRenderedPageBreak/>
              <w:t>8</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对铁轮车、履带车和其他可能损害公路路面的机具或者车辆擅自在村道上行驶的行政处罚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《河南省农村公路条例》：第四十五条、第五十三条第四项</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24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9</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对损坏或者擅自移动、涂改村道附属设施和标志的行政处罚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《河南省农村公路条例》：第四十六条第一款、第五十三条第六项</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50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10</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对在村道公路建筑控制区内修建建筑物、构筑物或者擅自架设、埋设管线、电缆等设施的行政处罚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交通运输</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《河南省农村公路条例》：第四十三条、第五十四条第一款</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38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11</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对在农村集中供水管道上直接装泵抽水的行政处罚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水利</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《河南省农村供水管理办法》（省政府令第223号）：第十七条、第三十七条第一项</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44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12</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对移动、喷涂、覆盖、损坏农村供水工程界桩、公告牌等标识的行政处罚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水利</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《河南省农村供水管理办法》（省政府令第223号）：第十五条、第三十七条第三项</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927"/>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13</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对露天焚烧秸秆的行政处罚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农业农村</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《河南省大气污染防治条例》：第五十四条第二款、第八十条</w:t>
            </w:r>
          </w:p>
        </w:tc>
        <w:tc>
          <w:tcPr>
            <w:tcW w:w="865"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557"/>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14</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对消防设施、器材或者消防安全标志的配置、设置不符合国家标准、行业标准，或者未保持完好有效的行政处罚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《中华人民共和国消防法》：第十六条第一款第二项、第六十条第一款第一项、第六十七条</w:t>
            </w:r>
          </w:p>
        </w:tc>
        <w:tc>
          <w:tcPr>
            <w:tcW w:w="865" w:type="dxa"/>
            <w:vMerge w:val="restart"/>
            <w:tcBorders>
              <w:top w:val="nil"/>
              <w:left w:val="nil"/>
              <w:bottom w:val="nil"/>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186"/>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15</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对损坏、挪用或者擅自拆除、停用消防设施、器材的行政处罚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《中华人民共和国消防法》：第二十八条、第六十条第一款第二项、第六十条第二款</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865"/>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lastRenderedPageBreak/>
              <w:t>16</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对占用、堵塞、封闭疏散通道、安全出口或者有其他妨碍安全疏散行为的行政处罚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《中华人民共和国消防法》：第十六条第一款第四项、第二十八条、第六十条第一款第三项、第六十条第二款、第六十七条</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78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17</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对占用、堵塞、封闭消防车通道，妨碍消防车通行的行政处罚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《中华人民共和国消防法》：第十六条第一款第四项、第二十八条、第六十条第一款第五项、第六十条第二款、第六十七条</w:t>
            </w:r>
          </w:p>
        </w:tc>
        <w:tc>
          <w:tcPr>
            <w:tcW w:w="865" w:type="dxa"/>
            <w:vMerge w:val="restart"/>
            <w:tcBorders>
              <w:top w:val="nil"/>
              <w:left w:val="nil"/>
              <w:bottom w:val="single" w:sz="4" w:space="0" w:color="000000"/>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23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18</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对人员密集场所在门窗上设置影响逃生和灭火救援的障碍物的行政处罚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《中华人民共和国消防法》：第二十八条、第六十条第一款第六项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618"/>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19</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对生产、储存、经营易燃易爆危险品的场所与居住场所设置在同一建筑物内，或者未与居住场所保持安全距离的行政处罚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《中华人民共和国消防法》：第十九条第一款、第六十一条第一款</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173"/>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20</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对违反规定使用明火作业或者在具有火灾、爆炸危险的场所吸烟、使用明火的行政处罚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《中华人民共和国消防法》：第二十一条第一款、第六十三条第二项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2061"/>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21</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对未依法建立消防组织，进行有针对性的消防演练的行政处罚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《河南省消防条例》：第十三条第一款第六项、第七十条第二款</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893"/>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22</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对未开展消防宣传教育培训的行政处罚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《河南省消防条例》：第十三条第一款第七项、第七十条第二款</w:t>
            </w:r>
          </w:p>
        </w:tc>
        <w:tc>
          <w:tcPr>
            <w:tcW w:w="865" w:type="dxa"/>
            <w:vMerge w:val="restart"/>
            <w:tcBorders>
              <w:top w:val="nil"/>
              <w:left w:val="nil"/>
              <w:bottom w:val="nil"/>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824"/>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lastRenderedPageBreak/>
              <w:t>23</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对在居住建筑物的公共走道、楼梯间、门厅内为电动自行车、电动三轮车充电，在城市建成区燃放孔明灯等携带明火且不可控制的空中飘移物的行政处罚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《河南省消防条例》：第十七条第二款、第三十四条第二款、第七十一条</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146"/>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24</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对人员密集场所的安全出口、疏散通道使用影响疏散的镜面材料的行政处罚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《河南省消防条例》：第三十二条、第七十二条第二项</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195"/>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25</w:t>
            </w:r>
          </w:p>
        </w:tc>
        <w:tc>
          <w:tcPr>
            <w:tcW w:w="314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对在具有火灾危险的车间、商场、集贸市场、仓库和公共娱乐场所内设置员工宿舍的行政处罚</w:t>
            </w:r>
          </w:p>
        </w:tc>
        <w:tc>
          <w:tcPr>
            <w:tcW w:w="1469"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25"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《河南省消防条例》：第三十六条第二款、第七十二条第四项</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bl>
    <w:p w:rsidR="00EF42EE" w:rsidRDefault="00EF42EE" w:rsidP="00EF42EE">
      <w:pPr>
        <w:rPr>
          <w:rFonts w:hint="eastAsia"/>
        </w:rPr>
      </w:pPr>
      <w:r>
        <w:t xml:space="preserve"> </w:t>
      </w:r>
    </w:p>
    <w:p w:rsidR="00EF42EE" w:rsidRDefault="00EF42EE" w:rsidP="00EF42EE">
      <w:pPr>
        <w:autoSpaceDE w:val="0"/>
        <w:spacing w:line="580" w:lineRule="exact"/>
        <w:rPr>
          <w:rFonts w:ascii="黑体" w:eastAsia="黑体" w:hAnsi="黑体"/>
        </w:rPr>
      </w:pPr>
      <w:r>
        <w:rPr>
          <w:rFonts w:ascii="黑体" w:eastAsia="黑体" w:hAnsi="黑体" w:hint="eastAsia"/>
        </w:rPr>
        <w:br w:type="page"/>
      </w:r>
      <w:r>
        <w:rPr>
          <w:rFonts w:ascii="宋体" w:hAnsi="宋体" w:hint="eastAsia"/>
          <w:b/>
          <w:sz w:val="32"/>
          <w:szCs w:val="32"/>
        </w:rPr>
        <w:lastRenderedPageBreak/>
        <w:t>附件2</w:t>
      </w:r>
    </w:p>
    <w:p w:rsidR="00EF42EE" w:rsidRDefault="00EF42EE" w:rsidP="00EF42EE">
      <w:pPr>
        <w:pStyle w:val="a3"/>
        <w:ind w:firstLineChars="0" w:firstLine="0"/>
        <w:rPr>
          <w:rFonts w:hint="eastAsia"/>
        </w:rPr>
      </w:pPr>
      <w:r>
        <w:rPr>
          <w:rFonts w:hint="eastAsia"/>
        </w:rPr>
        <w:t xml:space="preserve"> </w:t>
      </w:r>
    </w:p>
    <w:p w:rsidR="00EF42EE" w:rsidRDefault="00EF42EE" w:rsidP="00EF42EE">
      <w:pPr>
        <w:pStyle w:val="a6"/>
        <w:rPr>
          <w:rFonts w:hint="eastAsia"/>
          <w:sz w:val="40"/>
          <w:szCs w:val="40"/>
        </w:rPr>
      </w:pPr>
      <w:r>
        <w:rPr>
          <w:rFonts w:hint="eastAsia"/>
          <w:sz w:val="40"/>
          <w:szCs w:val="40"/>
        </w:rPr>
        <w:t>平顶山市街道综合行政执法承接事项清单</w:t>
      </w:r>
    </w:p>
    <w:p w:rsidR="00EF42EE" w:rsidRDefault="00EF42EE" w:rsidP="00EF42EE">
      <w:pPr>
        <w:pStyle w:val="a3"/>
        <w:ind w:firstLineChars="0" w:firstLine="0"/>
        <w:jc w:val="center"/>
        <w:rPr>
          <w:rFonts w:ascii="楷体_GB2312" w:eastAsia="楷体_GB2312" w:hint="eastAsia"/>
          <w:sz w:val="32"/>
          <w:szCs w:val="32"/>
        </w:rPr>
      </w:pPr>
      <w:r>
        <w:rPr>
          <w:rFonts w:ascii="楷体_GB2312" w:eastAsia="楷体_GB2312" w:hint="eastAsia"/>
          <w:sz w:val="32"/>
          <w:szCs w:val="32"/>
        </w:rPr>
        <w:t>（2025年）</w:t>
      </w:r>
    </w:p>
    <w:p w:rsidR="00EF42EE" w:rsidRDefault="00EF42EE" w:rsidP="00EF42EE">
      <w:pPr>
        <w:pStyle w:val="a3"/>
        <w:ind w:firstLineChars="0" w:firstLine="0"/>
        <w:jc w:val="center"/>
        <w:rPr>
          <w:rFonts w:ascii="楷体_GB2312" w:eastAsia="楷体_GB2312" w:hint="eastAsia"/>
          <w:sz w:val="32"/>
          <w:szCs w:val="32"/>
        </w:rPr>
      </w:pPr>
      <w:r>
        <w:rPr>
          <w:rFonts w:ascii="楷体_GB2312" w:eastAsia="楷体_GB2312" w:hint="eastAsia"/>
          <w:sz w:val="32"/>
          <w:szCs w:val="32"/>
        </w:rPr>
        <w:t xml:space="preserve"> </w:t>
      </w:r>
    </w:p>
    <w:tbl>
      <w:tblPr>
        <w:tblW w:w="9756" w:type="dxa"/>
        <w:jc w:val="center"/>
        <w:tblLook w:val="04A0"/>
      </w:tblPr>
      <w:tblGrid>
        <w:gridCol w:w="687"/>
        <w:gridCol w:w="2917"/>
        <w:gridCol w:w="1512"/>
        <w:gridCol w:w="3293"/>
        <w:gridCol w:w="1347"/>
      </w:tblGrid>
      <w:tr w:rsidR="00EF42EE" w:rsidTr="00EF42EE">
        <w:trPr>
          <w:trHeight w:val="480"/>
          <w:jc w:val="center"/>
        </w:trPr>
        <w:tc>
          <w:tcPr>
            <w:tcW w:w="687" w:type="dxa"/>
            <w:tcBorders>
              <w:top w:val="single" w:sz="4" w:space="0" w:color="000000"/>
              <w:left w:val="single" w:sz="4" w:space="0" w:color="000000"/>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序号</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事项名称</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执法领域</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实施依据</w:t>
            </w:r>
          </w:p>
        </w:tc>
        <w:tc>
          <w:tcPr>
            <w:tcW w:w="1347" w:type="dxa"/>
            <w:tcBorders>
              <w:top w:val="single" w:sz="4" w:space="0" w:color="000000"/>
              <w:left w:val="nil"/>
              <w:bottom w:val="single" w:sz="4" w:space="0" w:color="000000"/>
              <w:right w:val="single" w:sz="4" w:space="0" w:color="000000"/>
            </w:tcBorders>
            <w:vAlign w:val="center"/>
            <w:hideMark/>
          </w:tcPr>
          <w:p w:rsidR="00EF42EE" w:rsidRDefault="00EF42EE">
            <w:pPr>
              <w:widowControl/>
              <w:jc w:val="center"/>
              <w:textAlignment w:val="center"/>
              <w:rPr>
                <w:rFonts w:ascii="黑体" w:eastAsia="黑体" w:hAnsi="黑体"/>
                <w:sz w:val="28"/>
                <w:szCs w:val="28"/>
              </w:rPr>
            </w:pPr>
            <w:r>
              <w:rPr>
                <w:rFonts w:ascii="黑体" w:eastAsia="黑体" w:hAnsi="黑体" w:hint="eastAsia"/>
                <w:kern w:val="0"/>
                <w:sz w:val="28"/>
                <w:szCs w:val="28"/>
              </w:rPr>
              <w:t>行使范围</w:t>
            </w:r>
          </w:p>
        </w:tc>
      </w:tr>
      <w:tr w:rsidR="00EF42EE" w:rsidTr="00EF42EE">
        <w:trPr>
          <w:trHeight w:val="79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1</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对露天焚烧秸秆的行政处罚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农业农村</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《河南省大气污染防治条例》：第五十四条第二款、第八十条</w:t>
            </w:r>
          </w:p>
        </w:tc>
        <w:tc>
          <w:tcPr>
            <w:tcW w:w="1347" w:type="dxa"/>
            <w:tcBorders>
              <w:top w:val="single" w:sz="4" w:space="0" w:color="000000"/>
              <w:left w:val="nil"/>
              <w:bottom w:val="single" w:sz="4" w:space="0" w:color="000000"/>
              <w:right w:val="single" w:sz="4" w:space="0" w:color="000000"/>
            </w:tcBorders>
            <w:vAlign w:val="center"/>
          </w:tcPr>
          <w:p w:rsidR="00EF42EE" w:rsidRDefault="00EF42EE">
            <w:pPr>
              <w:widowControl/>
              <w:adjustRightInd w:val="0"/>
              <w:snapToGrid w:val="0"/>
              <w:jc w:val="center"/>
              <w:rPr>
                <w:rFonts w:ascii="仿宋_GB2312" w:eastAsia="仿宋_GB2312"/>
                <w:sz w:val="28"/>
                <w:szCs w:val="28"/>
              </w:rPr>
            </w:pPr>
          </w:p>
        </w:tc>
      </w:tr>
      <w:tr w:rsidR="00EF42EE" w:rsidTr="00EF42EE">
        <w:trPr>
          <w:trHeight w:val="1557"/>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2</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对消防设施、器材或者消防安全标志的配置、设置不符合国家标准、行业标准，或者未保持完好有效的行政处罚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《中华人民共和国消防法》：第十六条第一款第二项、第六十条第一款第一项、第六十七条</w:t>
            </w:r>
          </w:p>
        </w:tc>
        <w:tc>
          <w:tcPr>
            <w:tcW w:w="1347" w:type="dxa"/>
            <w:vMerge w:val="restart"/>
            <w:tcBorders>
              <w:top w:val="nil"/>
              <w:left w:val="nil"/>
              <w:bottom w:val="single" w:sz="4" w:space="0" w:color="000000"/>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17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3</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对损坏、挪用或者擅自拆除、停用消防设施、器材的行政处罚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《中华人民共和国消防法》：第二十八条、第六十条第一款第二项、第六十条第二款</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57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4</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对占用、堵塞、封闭疏散通道、安全出口或者有其他妨碍安全疏散行为的行政处罚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《中华人民共和国消防法》：第十六条第一款第四项、第二十八条、第六十条第一款第三项、第六十条第二款、第六十七条</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54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5</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对占用、堵塞、封闭消防车通道，妨碍消防车通行的行政处罚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《中华人民共和国消防法》：第十六条第一款第四项、第二十八条、第六十条第一款第五项、第六十条第二款、第六十七条</w:t>
            </w:r>
          </w:p>
        </w:tc>
        <w:tc>
          <w:tcPr>
            <w:tcW w:w="1347" w:type="dxa"/>
            <w:vMerge w:val="restart"/>
            <w:tcBorders>
              <w:top w:val="nil"/>
              <w:left w:val="nil"/>
              <w:bottom w:val="single" w:sz="4" w:space="0" w:color="000000"/>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119"/>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lastRenderedPageBreak/>
              <w:t>6</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对人员密集场所在门窗上设置影响逃生和灭火救援的障碍物的行政处罚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《中华人民共和国消防法》：第二十八条、第六十条第一款第六项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521"/>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7</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对生产、储存、经营易燃易爆危险品的场所与居住场所设置在同一建筑物内，或者未与居住场所保持安全距离的行政处罚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《中华人民共和国消防法》：第十九条第一款、第六十一条第一款</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165"/>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8</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对违反规定使用明火作业或者在具有火灾、爆炸危险的场所吸烟、使用明火的行政处罚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《中华人民共和国消防法》：第二十一条第一款、第六十三条第二项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01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9</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对未依法建立消防组织，进行有针对性的消防演练的行政处罚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《河南省消防条例》：第十三条第一款第六项、第七十条第二款</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11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10</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对未开展消防宣传教育培训的行政处罚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《河南省消防条例》：第十三条第一款第七项、第七十条第二款</w:t>
            </w:r>
          </w:p>
        </w:tc>
        <w:tc>
          <w:tcPr>
            <w:tcW w:w="1347" w:type="dxa"/>
            <w:vMerge w:val="restart"/>
            <w:tcBorders>
              <w:top w:val="nil"/>
              <w:left w:val="nil"/>
              <w:bottom w:val="single" w:sz="4" w:space="0" w:color="000000"/>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952"/>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11</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对在居住建筑物的公共走道、楼梯间、门厅内为电动自行车、电动三轮车充电，在城市建成区燃放孔明灯等携带明火且不可控制的空中飘移物的行政处罚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《河南省消防条例》：第十七条第二款、第三十四条第二款、第七十一条</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223"/>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12</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对人员密集场所的安全出口、疏散通道使用影响疏散的镜面材料的行政处罚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《河南省消防条例》：第三十二条、第七十二条第二项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31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sz w:val="28"/>
                <w:szCs w:val="28"/>
              </w:rPr>
            </w:pPr>
            <w:r>
              <w:rPr>
                <w:rFonts w:ascii="仿宋_GB2312" w:eastAsia="仿宋_GB2312" w:hint="eastAsia"/>
                <w:kern w:val="0"/>
                <w:sz w:val="28"/>
                <w:szCs w:val="28"/>
              </w:rPr>
              <w:t>13</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对在具有火灾危险的车间、商场、集贸市场、仓库和公共娱乐场所内设置员工宿舍的行政处罚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《河南省消防条例》：第三十六条第二款、第七十二条第四项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31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kern w:val="0"/>
                <w:sz w:val="28"/>
                <w:szCs w:val="28"/>
              </w:rPr>
            </w:pPr>
            <w:r>
              <w:rPr>
                <w:rFonts w:ascii="仿宋_GB2312" w:eastAsia="仿宋_GB2312" w:hint="eastAsia"/>
                <w:kern w:val="0"/>
                <w:sz w:val="28"/>
                <w:szCs w:val="28"/>
              </w:rPr>
              <w:lastRenderedPageBreak/>
              <w:t>14</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对未设置外墙外保温材料提示性和警示性标识，或者未及时修复破损、开裂和脱落的外墙外保温系统的行政处罚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kern w:val="0"/>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《高层民用建筑消防安全管理规定》（应急管理部令第5号）：第十九条第一款、第四十七条第三项</w:t>
            </w:r>
          </w:p>
        </w:tc>
        <w:tc>
          <w:tcPr>
            <w:tcW w:w="0" w:type="auto"/>
            <w:vMerge/>
            <w:tcBorders>
              <w:top w:val="nil"/>
              <w:left w:val="nil"/>
              <w:bottom w:val="single" w:sz="4" w:space="0" w:color="000000"/>
              <w:right w:val="single" w:sz="4" w:space="0" w:color="000000"/>
            </w:tcBorders>
            <w:vAlign w:val="center"/>
            <w:hideMark/>
          </w:tcPr>
          <w:p w:rsidR="00EF42EE" w:rsidRDefault="00EF42EE">
            <w:pPr>
              <w:widowControl/>
              <w:jc w:val="left"/>
              <w:rPr>
                <w:rFonts w:ascii="仿宋_GB2312" w:eastAsia="仿宋_GB2312"/>
                <w:sz w:val="28"/>
                <w:szCs w:val="28"/>
              </w:rPr>
            </w:pPr>
          </w:p>
        </w:tc>
      </w:tr>
      <w:tr w:rsidR="00EF42EE" w:rsidTr="00EF42EE">
        <w:trPr>
          <w:trHeight w:val="131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kern w:val="0"/>
                <w:sz w:val="28"/>
                <w:szCs w:val="28"/>
              </w:rPr>
            </w:pPr>
            <w:r>
              <w:rPr>
                <w:rFonts w:ascii="仿宋_GB2312" w:eastAsia="仿宋_GB2312" w:hint="eastAsia"/>
                <w:kern w:val="0"/>
                <w:sz w:val="28"/>
                <w:szCs w:val="28"/>
              </w:rPr>
              <w:t>15</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对未按照规定落实消防控制室值班制度，或者安排不具备相应条件的人员值班的行政处罚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kern w:val="0"/>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《高层民用建筑消防安全管理规定》（应急管理部令第5号）：第二十六条第一款及第二款、第四十七条第四项</w:t>
            </w:r>
          </w:p>
        </w:tc>
        <w:tc>
          <w:tcPr>
            <w:tcW w:w="1347" w:type="dxa"/>
            <w:vMerge w:val="restart"/>
            <w:tcBorders>
              <w:top w:val="nil"/>
              <w:left w:val="nil"/>
              <w:bottom w:val="nil"/>
              <w:right w:val="single" w:sz="4" w:space="0" w:color="000000"/>
            </w:tcBorders>
            <w:vAlign w:val="center"/>
          </w:tcPr>
          <w:p w:rsidR="00EF42EE" w:rsidRDefault="00EF42EE">
            <w:pPr>
              <w:widowControl/>
              <w:adjustRightInd w:val="0"/>
              <w:snapToGrid w:val="0"/>
              <w:jc w:val="center"/>
              <w:textAlignment w:val="center"/>
              <w:rPr>
                <w:rFonts w:ascii="仿宋_GB2312" w:eastAsia="仿宋_GB2312"/>
                <w:sz w:val="28"/>
                <w:szCs w:val="28"/>
              </w:rPr>
            </w:pPr>
          </w:p>
        </w:tc>
      </w:tr>
      <w:tr w:rsidR="00EF42EE" w:rsidTr="00EF42EE">
        <w:trPr>
          <w:trHeight w:val="1310"/>
          <w:jc w:val="center"/>
        </w:trPr>
        <w:tc>
          <w:tcPr>
            <w:tcW w:w="687" w:type="dxa"/>
            <w:tcBorders>
              <w:top w:val="single" w:sz="4" w:space="0" w:color="000000"/>
              <w:left w:val="single" w:sz="4" w:space="0" w:color="000000"/>
              <w:bottom w:val="single" w:sz="4" w:space="0" w:color="000000"/>
              <w:right w:val="single" w:sz="4" w:space="0" w:color="000000"/>
            </w:tcBorders>
            <w:noWrap/>
            <w:vAlign w:val="center"/>
            <w:hideMark/>
          </w:tcPr>
          <w:p w:rsidR="00EF42EE" w:rsidRDefault="00EF42EE">
            <w:pPr>
              <w:widowControl/>
              <w:jc w:val="center"/>
              <w:textAlignment w:val="center"/>
              <w:rPr>
                <w:rFonts w:ascii="仿宋_GB2312" w:eastAsia="仿宋_GB2312"/>
                <w:kern w:val="0"/>
                <w:sz w:val="28"/>
                <w:szCs w:val="28"/>
              </w:rPr>
            </w:pPr>
            <w:r>
              <w:rPr>
                <w:rFonts w:ascii="仿宋_GB2312" w:eastAsia="仿宋_GB2312" w:hint="eastAsia"/>
                <w:kern w:val="0"/>
                <w:sz w:val="28"/>
                <w:szCs w:val="28"/>
              </w:rPr>
              <w:t>16</w:t>
            </w:r>
          </w:p>
        </w:tc>
        <w:tc>
          <w:tcPr>
            <w:tcW w:w="2917"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对在高层民用建筑公共门厅、疏散走道、楼梯间、安全出口停放电动自行车或者为电动自行车充电的行政处罚</w:t>
            </w:r>
          </w:p>
        </w:tc>
        <w:tc>
          <w:tcPr>
            <w:tcW w:w="1512"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jc w:val="center"/>
              <w:textAlignment w:val="center"/>
              <w:rPr>
                <w:rFonts w:ascii="仿宋_GB2312" w:eastAsia="仿宋_GB2312"/>
                <w:kern w:val="0"/>
                <w:sz w:val="28"/>
                <w:szCs w:val="28"/>
              </w:rPr>
            </w:pPr>
            <w:r>
              <w:rPr>
                <w:rFonts w:ascii="仿宋_GB2312" w:eastAsia="仿宋_GB2312" w:hint="eastAsia"/>
                <w:kern w:val="0"/>
                <w:sz w:val="28"/>
                <w:szCs w:val="28"/>
              </w:rPr>
              <w:t>消防救援</w:t>
            </w:r>
          </w:p>
        </w:tc>
        <w:tc>
          <w:tcPr>
            <w:tcW w:w="3293" w:type="dxa"/>
            <w:tcBorders>
              <w:top w:val="single" w:sz="4" w:space="0" w:color="000000"/>
              <w:left w:val="nil"/>
              <w:bottom w:val="single" w:sz="4" w:space="0" w:color="000000"/>
              <w:right w:val="single" w:sz="4" w:space="0" w:color="000000"/>
            </w:tcBorders>
            <w:vAlign w:val="center"/>
            <w:hideMark/>
          </w:tcPr>
          <w:p w:rsidR="00EF42EE" w:rsidRDefault="00EF42EE">
            <w:pPr>
              <w:widowControl/>
              <w:adjustRightInd w:val="0"/>
              <w:snapToGrid w:val="0"/>
              <w:textAlignment w:val="center"/>
              <w:rPr>
                <w:rFonts w:ascii="仿宋_GB2312" w:eastAsia="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int="eastAsia"/>
                <w:kern w:val="0"/>
                <w:sz w:val="28"/>
                <w:szCs w:val="28"/>
              </w:rPr>
              <w:t>《高层民用建筑消防安全管理规定》（应急管理部令第5号）：第三十七条第一款、第四十七条第七项</w:t>
            </w:r>
          </w:p>
        </w:tc>
        <w:tc>
          <w:tcPr>
            <w:tcW w:w="0" w:type="auto"/>
            <w:vMerge/>
            <w:tcBorders>
              <w:top w:val="nil"/>
              <w:left w:val="nil"/>
              <w:bottom w:val="nil"/>
              <w:right w:val="single" w:sz="4" w:space="0" w:color="000000"/>
            </w:tcBorders>
            <w:vAlign w:val="center"/>
            <w:hideMark/>
          </w:tcPr>
          <w:p w:rsidR="00EF42EE" w:rsidRDefault="00EF42EE">
            <w:pPr>
              <w:widowControl/>
              <w:jc w:val="left"/>
              <w:rPr>
                <w:rFonts w:ascii="仿宋_GB2312" w:eastAsia="仿宋_GB2312"/>
                <w:sz w:val="28"/>
                <w:szCs w:val="28"/>
              </w:rPr>
            </w:pPr>
          </w:p>
        </w:tc>
      </w:tr>
    </w:tbl>
    <w:p w:rsidR="00EF42EE" w:rsidRDefault="00EF42EE" w:rsidP="00EF42EE">
      <w:pPr>
        <w:rPr>
          <w:rFonts w:hint="eastAsia"/>
        </w:rPr>
      </w:pPr>
      <w:r>
        <w:t xml:space="preserve"> </w:t>
      </w:r>
    </w:p>
    <w:p w:rsidR="00EF42EE" w:rsidRDefault="00EF42EE" w:rsidP="00EF42EE">
      <w:pPr>
        <w:autoSpaceDE w:val="0"/>
        <w:spacing w:line="580" w:lineRule="exact"/>
        <w:rPr>
          <w:rFonts w:ascii="黑体" w:eastAsia="黑体" w:hAnsi="黑体"/>
        </w:rPr>
      </w:pPr>
      <w:r>
        <w:rPr>
          <w:rFonts w:ascii="黑体" w:eastAsia="黑体" w:hAnsi="黑体" w:hint="eastAsia"/>
        </w:rPr>
        <w:br w:type="page"/>
      </w:r>
      <w:r>
        <w:rPr>
          <w:rFonts w:ascii="宋体" w:hAnsi="宋体" w:hint="eastAsia"/>
          <w:b/>
          <w:sz w:val="32"/>
          <w:szCs w:val="32"/>
        </w:rPr>
        <w:lastRenderedPageBreak/>
        <w:t>附件3</w:t>
      </w:r>
    </w:p>
    <w:p w:rsidR="00EF42EE" w:rsidRDefault="00EF42EE" w:rsidP="00EF42EE">
      <w:pPr>
        <w:pStyle w:val="a3"/>
        <w:ind w:firstLineChars="0" w:firstLine="0"/>
        <w:rPr>
          <w:rFonts w:hint="eastAsia"/>
        </w:rPr>
      </w:pPr>
      <w:r>
        <w:rPr>
          <w:rFonts w:hint="eastAsia"/>
        </w:rPr>
        <w:t xml:space="preserve"> </w:t>
      </w:r>
    </w:p>
    <w:p w:rsidR="00EF42EE" w:rsidRDefault="00EF42EE" w:rsidP="00EF42EE">
      <w:pPr>
        <w:pStyle w:val="a6"/>
        <w:rPr>
          <w:rFonts w:hint="eastAsia"/>
        </w:rPr>
      </w:pPr>
      <w:r>
        <w:rPr>
          <w:rFonts w:hint="eastAsia"/>
          <w:sz w:val="40"/>
          <w:szCs w:val="40"/>
        </w:rPr>
        <w:t>乡镇（街道）消防救援</w:t>
      </w:r>
      <w:r>
        <w:rPr>
          <w:rFonts w:hint="eastAsia"/>
        </w:rPr>
        <w:t>领域</w:t>
      </w:r>
    </w:p>
    <w:p w:rsidR="00EF42EE" w:rsidRDefault="00EF42EE" w:rsidP="00EF42EE">
      <w:pPr>
        <w:pStyle w:val="a6"/>
        <w:rPr>
          <w:rFonts w:hint="eastAsia"/>
          <w:sz w:val="40"/>
          <w:szCs w:val="40"/>
        </w:rPr>
      </w:pPr>
      <w:r>
        <w:rPr>
          <w:rFonts w:hint="eastAsia"/>
          <w:sz w:val="40"/>
          <w:szCs w:val="40"/>
        </w:rPr>
        <w:t>行政处罚权的行使范围</w:t>
      </w:r>
    </w:p>
    <w:p w:rsidR="00EF42EE" w:rsidRDefault="00EF42EE" w:rsidP="00EF42EE">
      <w:pPr>
        <w:pStyle w:val="a3"/>
        <w:ind w:firstLineChars="0" w:firstLine="0"/>
        <w:rPr>
          <w:rFonts w:hint="eastAsia"/>
        </w:rPr>
      </w:pPr>
      <w:r>
        <w:rPr>
          <w:rFonts w:hint="eastAsia"/>
        </w:rPr>
        <w:t xml:space="preserve"> </w:t>
      </w:r>
    </w:p>
    <w:p w:rsidR="00EF42EE" w:rsidRDefault="00EF42EE" w:rsidP="00EF42EE">
      <w:pPr>
        <w:pStyle w:val="a3"/>
        <w:ind w:firstLine="640"/>
        <w:rPr>
          <w:rFonts w:eastAsia="仿宋_GB2312" w:hint="eastAsia"/>
          <w:sz w:val="32"/>
          <w:szCs w:val="32"/>
        </w:rPr>
      </w:pPr>
      <w:r>
        <w:rPr>
          <w:rFonts w:eastAsia="仿宋_GB2312" w:hint="eastAsia"/>
          <w:sz w:val="32"/>
          <w:szCs w:val="32"/>
        </w:rPr>
        <w:t>一、居民住宅区（含商住楼的居民住宅部分，高度超过100米的住宅建筑除外），商业服务网点。</w:t>
      </w:r>
    </w:p>
    <w:p w:rsidR="00EF42EE" w:rsidRDefault="00EF42EE" w:rsidP="00EF42EE">
      <w:pPr>
        <w:pStyle w:val="a3"/>
        <w:ind w:firstLine="640"/>
        <w:rPr>
          <w:rFonts w:eastAsia="仿宋_GB2312" w:hint="eastAsia"/>
          <w:sz w:val="32"/>
          <w:szCs w:val="32"/>
        </w:rPr>
      </w:pPr>
      <w:r>
        <w:rPr>
          <w:rFonts w:eastAsia="仿宋_GB2312" w:hint="eastAsia"/>
          <w:sz w:val="32"/>
          <w:szCs w:val="32"/>
        </w:rPr>
        <w:t>二、建筑面积在300平方米以下（不含本数）的下列场所：</w:t>
      </w:r>
    </w:p>
    <w:p w:rsidR="00EF42EE" w:rsidRDefault="00EF42EE" w:rsidP="00EF42EE">
      <w:pPr>
        <w:pStyle w:val="a3"/>
        <w:ind w:firstLine="640"/>
        <w:rPr>
          <w:rFonts w:eastAsia="仿宋_GB2312" w:hint="eastAsia"/>
          <w:sz w:val="32"/>
          <w:szCs w:val="32"/>
        </w:rPr>
      </w:pPr>
      <w:r>
        <w:rPr>
          <w:rFonts w:eastAsia="仿宋_GB2312" w:hint="eastAsia"/>
          <w:sz w:val="32"/>
          <w:szCs w:val="32"/>
        </w:rPr>
        <w:t>（一）“多合一”场所；</w:t>
      </w:r>
    </w:p>
    <w:p w:rsidR="00EF42EE" w:rsidRDefault="00EF42EE" w:rsidP="00EF42EE">
      <w:pPr>
        <w:pStyle w:val="a3"/>
        <w:ind w:firstLine="640"/>
        <w:rPr>
          <w:rFonts w:eastAsia="仿宋_GB2312" w:hint="eastAsia"/>
          <w:sz w:val="32"/>
          <w:szCs w:val="32"/>
        </w:rPr>
      </w:pPr>
      <w:r>
        <w:rPr>
          <w:rFonts w:eastAsia="仿宋_GB2312" w:hint="eastAsia"/>
          <w:sz w:val="32"/>
          <w:szCs w:val="32"/>
        </w:rPr>
        <w:t>（二）出租屋、群租房；</w:t>
      </w:r>
    </w:p>
    <w:p w:rsidR="00EF42EE" w:rsidRDefault="00EF42EE" w:rsidP="00EF42EE">
      <w:pPr>
        <w:pStyle w:val="a3"/>
        <w:ind w:firstLine="640"/>
        <w:rPr>
          <w:rFonts w:eastAsia="仿宋_GB2312" w:hint="eastAsia"/>
          <w:sz w:val="32"/>
          <w:szCs w:val="32"/>
        </w:rPr>
      </w:pPr>
      <w:r>
        <w:rPr>
          <w:rFonts w:eastAsia="仿宋_GB2312" w:hint="eastAsia"/>
          <w:sz w:val="32"/>
          <w:szCs w:val="32"/>
        </w:rPr>
        <w:t>（三）商店、集贸市场、饭店（含农家乐）、校外培训机构、月子中心、托育机构、托班、沿街门店；</w:t>
      </w:r>
    </w:p>
    <w:p w:rsidR="00EF42EE" w:rsidRDefault="00EF42EE" w:rsidP="00EF42EE">
      <w:pPr>
        <w:pStyle w:val="a3"/>
        <w:ind w:firstLine="640"/>
        <w:rPr>
          <w:rFonts w:eastAsia="仿宋_GB2312" w:hint="eastAsia"/>
          <w:sz w:val="32"/>
          <w:szCs w:val="32"/>
        </w:rPr>
      </w:pPr>
      <w:r>
        <w:rPr>
          <w:rFonts w:eastAsia="仿宋_GB2312" w:hint="eastAsia"/>
          <w:sz w:val="32"/>
          <w:szCs w:val="32"/>
        </w:rPr>
        <w:t>（四）洗浴、足浴、茶社、美容美发、采耳、健身、汗蒸、密室逃脱、剧本杀等营业性休闲场所；</w:t>
      </w:r>
    </w:p>
    <w:p w:rsidR="00EF42EE" w:rsidRDefault="00EF42EE" w:rsidP="00EF42EE">
      <w:pPr>
        <w:pStyle w:val="a3"/>
        <w:ind w:firstLine="640"/>
        <w:rPr>
          <w:rFonts w:eastAsia="仿宋_GB2312" w:hint="eastAsia"/>
          <w:sz w:val="32"/>
          <w:szCs w:val="32"/>
        </w:rPr>
      </w:pPr>
      <w:r>
        <w:rPr>
          <w:rFonts w:eastAsia="仿宋_GB2312" w:hint="eastAsia"/>
          <w:sz w:val="32"/>
          <w:szCs w:val="32"/>
        </w:rPr>
        <w:t>（五）邮政网点、电商网点、物流网点（含快递收发点）、金融网点、医疗卫生机构；</w:t>
      </w:r>
    </w:p>
    <w:p w:rsidR="00EF42EE" w:rsidRDefault="00EF42EE" w:rsidP="00EF42EE">
      <w:pPr>
        <w:pStyle w:val="a3"/>
        <w:ind w:firstLine="640"/>
        <w:rPr>
          <w:rFonts w:eastAsia="仿宋_GB2312" w:hint="eastAsia"/>
          <w:sz w:val="32"/>
          <w:szCs w:val="32"/>
        </w:rPr>
      </w:pPr>
      <w:r>
        <w:rPr>
          <w:rFonts w:eastAsia="仿宋_GB2312" w:hint="eastAsia"/>
          <w:sz w:val="32"/>
          <w:szCs w:val="32"/>
        </w:rPr>
        <w:t>（六）公共书屋、展示陈列等基层文化服务场所；</w:t>
      </w:r>
    </w:p>
    <w:p w:rsidR="00EF42EE" w:rsidRDefault="00EF42EE" w:rsidP="00EF42EE">
      <w:pPr>
        <w:pStyle w:val="a3"/>
        <w:ind w:firstLine="640"/>
        <w:rPr>
          <w:rFonts w:eastAsia="仿宋_GB2312" w:hint="eastAsia"/>
          <w:sz w:val="32"/>
          <w:szCs w:val="32"/>
        </w:rPr>
      </w:pPr>
      <w:r>
        <w:rPr>
          <w:rFonts w:eastAsia="仿宋_GB2312" w:hint="eastAsia"/>
          <w:sz w:val="32"/>
          <w:szCs w:val="32"/>
        </w:rPr>
        <w:t>（七）生产、加工、储存非易燃易爆品的工厂、作坊、仓库、堆场等场所。</w:t>
      </w:r>
    </w:p>
    <w:p w:rsidR="00EF42EE" w:rsidRDefault="00EF42EE" w:rsidP="00EF42EE">
      <w:pPr>
        <w:pStyle w:val="a3"/>
        <w:ind w:firstLine="640"/>
        <w:rPr>
          <w:rFonts w:eastAsia="仿宋_GB2312" w:hint="eastAsia"/>
          <w:sz w:val="32"/>
          <w:szCs w:val="32"/>
        </w:rPr>
      </w:pPr>
      <w:r>
        <w:rPr>
          <w:rFonts w:eastAsia="仿宋_GB2312" w:hint="eastAsia"/>
          <w:sz w:val="32"/>
          <w:szCs w:val="32"/>
        </w:rPr>
        <w:t>三、非寄宿制学校、幼儿园。</w:t>
      </w:r>
    </w:p>
    <w:p w:rsidR="00EF42EE" w:rsidRDefault="00EF42EE" w:rsidP="00EF42EE">
      <w:pPr>
        <w:pStyle w:val="a3"/>
        <w:ind w:firstLine="640"/>
        <w:rPr>
          <w:rFonts w:hint="eastAsia"/>
        </w:rPr>
      </w:pPr>
      <w:r>
        <w:rPr>
          <w:rFonts w:eastAsia="仿宋_GB2312" w:hint="eastAsia"/>
          <w:sz w:val="32"/>
          <w:szCs w:val="32"/>
        </w:rPr>
        <w:t>四、房间数15个以下（不含本数）的宾馆、旅馆、民宿等具有居住功能的场所。</w:t>
      </w:r>
      <w:r>
        <w:rPr>
          <w:noProof/>
        </w:rPr>
        <w:drawing>
          <wp:inline distT="0" distB="0" distL="0" distR="0">
            <wp:extent cx="800100" cy="304800"/>
            <wp:effectExtent l="19050" t="0" r="0" b="0"/>
            <wp:docPr id="1" name="图片 1" descr="C:\Users\ADMINI~1\AppData\Local\Temp\ksohtml941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9412\wps1.png"/>
                    <pic:cNvPicPr>
                      <a:picLocks noChangeAspect="1" noChangeArrowheads="1"/>
                    </pic:cNvPicPr>
                  </pic:nvPicPr>
                  <pic:blipFill>
                    <a:blip r:embed="rId4"/>
                    <a:srcRect/>
                    <a:stretch>
                      <a:fillRect/>
                    </a:stretch>
                  </pic:blipFill>
                  <pic:spPr bwMode="auto">
                    <a:xfrm>
                      <a:off x="0" y="0"/>
                      <a:ext cx="800100" cy="304800"/>
                    </a:xfrm>
                    <a:prstGeom prst="rect">
                      <a:avLst/>
                    </a:prstGeom>
                    <a:noFill/>
                    <a:ln w="9525">
                      <a:noFill/>
                      <a:miter lim="800000"/>
                      <a:headEnd/>
                      <a:tailEnd/>
                    </a:ln>
                  </pic:spPr>
                </pic:pic>
              </a:graphicData>
            </a:graphic>
          </wp:inline>
        </w:drawing>
      </w:r>
    </w:p>
    <w:p w:rsidR="00445447" w:rsidRPr="00EF42EE" w:rsidRDefault="00445447"/>
    <w:sectPr w:rsidR="00445447" w:rsidRPr="00EF42EE" w:rsidSect="004454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42EE"/>
    <w:rsid w:val="00445447"/>
    <w:rsid w:val="0046185A"/>
    <w:rsid w:val="00EF4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E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正文"/>
    <w:basedOn w:val="a"/>
    <w:rsid w:val="00EF42EE"/>
    <w:pPr>
      <w:overflowPunct w:val="0"/>
      <w:spacing w:line="592" w:lineRule="exact"/>
      <w:ind w:firstLineChars="200" w:firstLine="200"/>
    </w:pPr>
    <w:rPr>
      <w:rFonts w:ascii="仿宋_GB2312" w:hAnsi="宋体"/>
    </w:rPr>
  </w:style>
  <w:style w:type="paragraph" w:customStyle="1" w:styleId="a4">
    <w:name w:val="公文一级标题"/>
    <w:basedOn w:val="a3"/>
    <w:next w:val="a3"/>
    <w:rsid w:val="00EF42EE"/>
    <w:pPr>
      <w:ind w:firstLine="632"/>
      <w:outlineLvl w:val="0"/>
    </w:pPr>
    <w:rPr>
      <w:rFonts w:ascii="方正黑体_GBK" w:eastAsia="方正黑体_GBK" w:cs="宋体"/>
    </w:rPr>
  </w:style>
  <w:style w:type="paragraph" w:customStyle="1" w:styleId="a5">
    <w:name w:val="公文落款日期"/>
    <w:basedOn w:val="a3"/>
    <w:next w:val="a3"/>
    <w:rsid w:val="00EF42EE"/>
    <w:pPr>
      <w:spacing w:before="100" w:beforeAutospacing="1" w:after="100" w:afterAutospacing="1"/>
      <w:ind w:rightChars="400" w:right="1264" w:firstLineChars="0" w:firstLine="0"/>
      <w:jc w:val="right"/>
    </w:pPr>
    <w:rPr>
      <w:rFonts w:hAnsi="仿宋_GB2312"/>
    </w:rPr>
  </w:style>
  <w:style w:type="paragraph" w:customStyle="1" w:styleId="a6">
    <w:name w:val="公文题目"/>
    <w:basedOn w:val="a3"/>
    <w:next w:val="a3"/>
    <w:rsid w:val="00EF42EE"/>
    <w:pPr>
      <w:spacing w:line="626" w:lineRule="exact"/>
      <w:ind w:firstLineChars="0" w:firstLine="0"/>
      <w:jc w:val="center"/>
    </w:pPr>
    <w:rPr>
      <w:rFonts w:ascii="方正小标宋_GBK" w:eastAsia="方正小标宋_GBK" w:cs="宋体"/>
      <w:sz w:val="44"/>
      <w:szCs w:val="44"/>
    </w:rPr>
  </w:style>
  <w:style w:type="paragraph" w:styleId="a7">
    <w:name w:val="Balloon Text"/>
    <w:basedOn w:val="a"/>
    <w:link w:val="Char"/>
    <w:uiPriority w:val="99"/>
    <w:semiHidden/>
    <w:unhideWhenUsed/>
    <w:rsid w:val="00EF42EE"/>
    <w:rPr>
      <w:sz w:val="18"/>
      <w:szCs w:val="18"/>
    </w:rPr>
  </w:style>
  <w:style w:type="character" w:customStyle="1" w:styleId="Char">
    <w:name w:val="批注框文本 Char"/>
    <w:basedOn w:val="a0"/>
    <w:link w:val="a7"/>
    <w:uiPriority w:val="99"/>
    <w:semiHidden/>
    <w:rsid w:val="00EF42E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543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857</Words>
  <Characters>4888</Characters>
  <Application>Microsoft Office Word</Application>
  <DocSecurity>0</DocSecurity>
  <Lines>40</Lines>
  <Paragraphs>11</Paragraphs>
  <ScaleCrop>false</ScaleCrop>
  <Company>china</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2026-05-08T08:08:00Z</dcterms:created>
  <dcterms:modified xsi:type="dcterms:W3CDTF">2026-05-08T08:08:00Z</dcterms:modified>
</cp:coreProperties>
</file>